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B724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B724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2B7247">
      <w:pPr>
        <w:keepNext/>
        <w:spacing w:after="480"/>
        <w:jc w:val="center"/>
      </w:pPr>
      <w:r>
        <w:rPr>
          <w:b/>
        </w:rPr>
        <w:t xml:space="preserve">w sprawie przyjęcia „Aktualizacji do 2023 roku Planu gospodarki niskoemisyjnej dla Gminy Nieporęt na lata 2016-2020 wraz z raportem z ewaluacji działań podjętych do </w:t>
      </w:r>
      <w:r>
        <w:rPr>
          <w:b/>
        </w:rPr>
        <w:t>2020 roku"</w:t>
      </w:r>
    </w:p>
    <w:p w:rsidR="00A77B3E" w:rsidRDefault="002B7247">
      <w:pPr>
        <w:keepLines/>
        <w:spacing w:before="120" w:after="120"/>
        <w:ind w:firstLine="227"/>
      </w:pPr>
      <w:r>
        <w:t>Na podstawie art. 18 ust. 1 w związku z art. 7 ust. 1 pkt 1 ustawy z dnia 8 marca 1990 r. o samorządzie gminnym (Dz. U. z 2020 r. poz. 713) Rada Gminy Nieporęt uchwala, co następuje:</w:t>
      </w:r>
    </w:p>
    <w:p w:rsidR="00A77B3E" w:rsidRDefault="002B72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 „Aktualizację do 2023 roku Planu gospodarki</w:t>
      </w:r>
      <w:r>
        <w:t xml:space="preserve"> niskoemisyjnej dla Gminy Nieporęt na lata 2016-2020 wraz z raportem z ewaluacji działań podjętych do 2020 roku”, stanowiącą załącznik do niniejszej uchwały.</w:t>
      </w:r>
    </w:p>
    <w:p w:rsidR="00A77B3E" w:rsidRDefault="002B72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2B72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podpisania.</w:t>
      </w:r>
    </w:p>
    <w:p w:rsidR="009B2911" w:rsidRDefault="009B2911">
      <w:pPr>
        <w:keepLines/>
        <w:spacing w:before="120" w:after="120"/>
        <w:ind w:firstLine="340"/>
        <w:rPr>
          <w:color w:val="000000"/>
          <w:u w:color="000000"/>
        </w:rPr>
        <w:sectPr w:rsidR="009B2911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858CF" w:rsidRPr="00483CCE" w:rsidRDefault="008858CF" w:rsidP="008858CF">
      <w:pPr>
        <w:spacing w:line="360" w:lineRule="auto"/>
        <w:ind w:left="4956"/>
        <w:jc w:val="right"/>
        <w:rPr>
          <w:rFonts w:cstheme="minorHAnsi"/>
          <w:b/>
          <w:sz w:val="20"/>
          <w:szCs w:val="20"/>
        </w:rPr>
      </w:pPr>
      <w:r w:rsidRPr="00483CCE">
        <w:rPr>
          <w:rFonts w:cstheme="minorHAnsi"/>
          <w:b/>
          <w:sz w:val="20"/>
          <w:szCs w:val="20"/>
        </w:rPr>
        <w:lastRenderedPageBreak/>
        <w:t xml:space="preserve">        Załącznik do uchwały Nr        /   </w:t>
      </w:r>
      <w:r>
        <w:rPr>
          <w:rFonts w:cstheme="minorHAnsi"/>
          <w:b/>
          <w:sz w:val="20"/>
          <w:szCs w:val="20"/>
        </w:rPr>
        <w:t xml:space="preserve"> </w:t>
      </w:r>
      <w:r w:rsidRPr="00483CCE">
        <w:rPr>
          <w:rFonts w:cstheme="minorHAnsi"/>
          <w:b/>
          <w:sz w:val="20"/>
          <w:szCs w:val="20"/>
        </w:rPr>
        <w:t xml:space="preserve">   /2020</w:t>
      </w:r>
    </w:p>
    <w:p w:rsidR="008858CF" w:rsidRPr="00483CCE" w:rsidRDefault="008858CF" w:rsidP="008858CF">
      <w:pPr>
        <w:spacing w:line="360" w:lineRule="auto"/>
        <w:ind w:left="5664" w:firstLine="708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Rady Gminy Nieporęt</w:t>
      </w:r>
    </w:p>
    <w:p w:rsidR="008858CF" w:rsidRPr="00483CCE" w:rsidRDefault="008858CF" w:rsidP="008858CF">
      <w:pPr>
        <w:spacing w:line="360" w:lineRule="auto"/>
        <w:ind w:left="5664"/>
        <w:jc w:val="right"/>
        <w:rPr>
          <w:rFonts w:cstheme="minorHAnsi"/>
          <w:b/>
          <w:sz w:val="32"/>
        </w:rPr>
      </w:pPr>
      <w:r w:rsidRPr="00483CCE">
        <w:rPr>
          <w:rFonts w:cstheme="minorHAnsi"/>
          <w:b/>
          <w:sz w:val="20"/>
          <w:szCs w:val="20"/>
        </w:rPr>
        <w:t xml:space="preserve">   z dnia …. października 2020 roku</w:t>
      </w:r>
    </w:p>
    <w:p w:rsidR="008858CF" w:rsidRPr="00483CCE" w:rsidRDefault="008858CF" w:rsidP="008858CF">
      <w:pPr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spacing w:before="120" w:after="120" w:line="240" w:lineRule="atLeast"/>
        <w:jc w:val="center"/>
        <w:rPr>
          <w:rFonts w:cstheme="minorHAnsi"/>
          <w:b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>AKTUALIZACJA DO 2023 ROKU</w:t>
      </w:r>
    </w:p>
    <w:p w:rsidR="008858CF" w:rsidRPr="00483CCE" w:rsidRDefault="008858CF" w:rsidP="008858CF">
      <w:pPr>
        <w:spacing w:before="120" w:after="120" w:line="240" w:lineRule="atLeast"/>
        <w:jc w:val="center"/>
        <w:rPr>
          <w:rFonts w:cstheme="minorHAnsi"/>
          <w:b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>PLANU GOSPODARKI NISKOEMISYJNEJ</w:t>
      </w:r>
    </w:p>
    <w:p w:rsidR="008858CF" w:rsidRPr="00483CCE" w:rsidRDefault="008858CF" w:rsidP="008858CF">
      <w:pPr>
        <w:spacing w:before="120" w:after="120" w:line="240" w:lineRule="atLeast"/>
        <w:jc w:val="center"/>
        <w:rPr>
          <w:rFonts w:cstheme="minorHAnsi"/>
          <w:b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>DLA GMINY NIEPORĘT  NA LATA 2016-2020</w:t>
      </w:r>
    </w:p>
    <w:p w:rsidR="008858CF" w:rsidRPr="00483CCE" w:rsidRDefault="008858CF" w:rsidP="008858CF">
      <w:pPr>
        <w:spacing w:before="120" w:after="120" w:line="240" w:lineRule="atLeast"/>
        <w:jc w:val="center"/>
        <w:rPr>
          <w:rFonts w:cstheme="minorHAnsi"/>
          <w:b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 xml:space="preserve">WRAZ Z RAPORTEM Z EWALUACJI DZIAŁAŃ </w:t>
      </w:r>
    </w:p>
    <w:p w:rsidR="008858CF" w:rsidRPr="00483CCE" w:rsidRDefault="008858CF" w:rsidP="008858CF">
      <w:pPr>
        <w:spacing w:before="120" w:after="120" w:line="240" w:lineRule="atLeast"/>
        <w:jc w:val="center"/>
        <w:rPr>
          <w:rFonts w:cstheme="minorHAnsi"/>
          <w:b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>PODJĘTYCH DO 2020 ROKU</w:t>
      </w:r>
    </w:p>
    <w:p w:rsidR="008858CF" w:rsidRPr="00483CCE" w:rsidRDefault="008858CF" w:rsidP="008858CF">
      <w:pPr>
        <w:jc w:val="center"/>
        <w:rPr>
          <w:rFonts w:cstheme="minorHAnsi"/>
          <w:b/>
          <w:sz w:val="32"/>
          <w:szCs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trike/>
          <w:sz w:val="32"/>
          <w:szCs w:val="32"/>
        </w:rPr>
      </w:pPr>
      <w:r w:rsidRPr="00483CCE">
        <w:rPr>
          <w:rFonts w:cstheme="minorHAnsi"/>
          <w:b/>
          <w:sz w:val="32"/>
          <w:szCs w:val="32"/>
        </w:rPr>
        <w:t xml:space="preserve"> </w:t>
      </w: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  <w:r w:rsidRPr="00483CCE">
        <w:rPr>
          <w:rFonts w:cstheme="minorHAnsi"/>
          <w:noProof/>
          <w:color w:val="000000" w:themeColor="text1"/>
        </w:rPr>
        <w:drawing>
          <wp:inline distT="0" distB="0" distL="0" distR="0" wp14:anchorId="0430FB06" wp14:editId="661AB53F">
            <wp:extent cx="1504336" cy="1935480"/>
            <wp:effectExtent l="0" t="0" r="0" b="0"/>
            <wp:docPr id="4" name="Obraz 4" descr="Herb i hejnał - Gmina Nieporę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i hejnał - Gmina Nieporę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70" cy="19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32"/>
        </w:rPr>
      </w:pPr>
    </w:p>
    <w:p w:rsidR="008858CF" w:rsidRPr="00483CCE" w:rsidRDefault="008858CF" w:rsidP="008858CF">
      <w:pPr>
        <w:jc w:val="center"/>
        <w:rPr>
          <w:rFonts w:cstheme="minorHAnsi"/>
          <w:b/>
          <w:sz w:val="24"/>
          <w:szCs w:val="18"/>
        </w:rPr>
      </w:pPr>
      <w:r w:rsidRPr="00483CCE">
        <w:rPr>
          <w:rFonts w:cstheme="minorHAnsi"/>
          <w:b/>
          <w:sz w:val="24"/>
          <w:szCs w:val="18"/>
        </w:rPr>
        <w:t>NIEPORĘT 2020 r.</w:t>
      </w:r>
    </w:p>
    <w:p w:rsidR="008858CF" w:rsidRPr="00483CCE" w:rsidRDefault="008858CF" w:rsidP="008858CF">
      <w:pPr>
        <w:rPr>
          <w:rFonts w:cstheme="minorHAnsi"/>
          <w:b/>
          <w:sz w:val="32"/>
        </w:rPr>
        <w:sectPr w:rsidR="008858CF" w:rsidRPr="00483CCE" w:rsidSect="009A4DE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32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b/>
          <w:color w:val="FF0000"/>
          <w:sz w:val="32"/>
        </w:rPr>
      </w:pPr>
      <w:r w:rsidRPr="00483CCE">
        <w:rPr>
          <w:rFonts w:cstheme="minorHAnsi"/>
          <w:b/>
          <w:sz w:val="32"/>
        </w:rPr>
        <w:t>WPROWADZENIE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NINIEJSZE OPRACOWANIE JEST INTEGRALNĄ CZĘŚCIĄ PLANU GOSPODARKI NISKOEMISYJNEJ DLA GMINY NIEPORĘT</w:t>
      </w:r>
      <w:r>
        <w:rPr>
          <w:rFonts w:cstheme="minorHAnsi"/>
          <w:sz w:val="24"/>
        </w:rPr>
        <w:t xml:space="preserve"> NA LATA 2016-2020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  <w:r w:rsidRPr="00483CCE">
        <w:rPr>
          <w:rFonts w:cstheme="minorHAnsi"/>
          <w:sz w:val="24"/>
        </w:rPr>
        <w:t xml:space="preserve">Plan Gospodarki Niskoemisyjnej dla Gminy Nieporęt na lata 2016-2020 </w:t>
      </w:r>
      <w:r>
        <w:rPr>
          <w:rFonts w:cstheme="minorHAnsi"/>
          <w:sz w:val="24"/>
        </w:rPr>
        <w:t xml:space="preserve">(PGN) </w:t>
      </w:r>
      <w:r w:rsidRPr="00483CCE">
        <w:rPr>
          <w:rFonts w:cstheme="minorHAnsi"/>
          <w:sz w:val="24"/>
        </w:rPr>
        <w:t>opracowano, aby m.in. przyczynić się do redukcji emisji gazów cieplarnianych, zwiększenia udziału energii pochodzącej ze źródeł odnawialnych, redukcji zużycia energii finalnej, co ma zostać zrealizowane poprzez podniesienie efektywności energetycznej, a także poprawę jakości powietrza. PGN wpisuje się we wszystkie zobowiązania publiczne przyjęte w zakresie ochrony powietrza i środowiska naturalnego.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Gmina Nieporęt przyjęła do realizacji Plan Gospodarki Niskoemisyjnej uchwałą nr XXI/11/2016 Rady Gminy Nieporęt z dnia 29.02.2016 r. Dokument przeszedł pozytywną weryfikację przez Narodowy Fundusz Ochrony Środowiska i Gospodarki Wodnej. Plan Gospodarki Niskoemisyjnej powinien być dokumentem użytecznym dla Gminy, a więc w razie potrzeby powinien być aktualizowany. Realizacja określonych w ramach Planu Gospodarki Niskoemisyjnej dla Gminy Nieporęt na lata 2016-2020 celów i zadań powinna podlegać zatem systematycznemu monitorowaniu oraz ewaluacji. </w:t>
      </w: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  <w:r w:rsidRPr="00483CCE">
        <w:rPr>
          <w:rFonts w:cstheme="minorHAnsi"/>
          <w:b/>
          <w:sz w:val="24"/>
        </w:rPr>
        <w:t>W związku z przeprowadzoną ewaluacją zadań postanowiono o wydłużeniu okresu obowiązywania planu do 2023 roku, czyli do zakończeni</w:t>
      </w:r>
      <w:r>
        <w:rPr>
          <w:rFonts w:cstheme="minorHAnsi"/>
          <w:b/>
          <w:sz w:val="24"/>
        </w:rPr>
        <w:t>a</w:t>
      </w:r>
      <w:r w:rsidRPr="00483CCE">
        <w:rPr>
          <w:rFonts w:cstheme="minorHAnsi"/>
          <w:b/>
          <w:sz w:val="24"/>
        </w:rPr>
        <w:t xml:space="preserve"> aktualnej perspektywy finansowej Unii Europejskiej. W związku z wydłużeniem okresu obowiązywania planu wprowadzono do niego nowe zadania inwestycyjne i </w:t>
      </w:r>
      <w:proofErr w:type="spellStart"/>
      <w:r w:rsidRPr="00483CCE">
        <w:rPr>
          <w:rFonts w:cstheme="minorHAnsi"/>
          <w:b/>
          <w:sz w:val="24"/>
        </w:rPr>
        <w:t>nieinwestycyjne</w:t>
      </w:r>
      <w:proofErr w:type="spellEnd"/>
      <w:r w:rsidRPr="00483CCE">
        <w:rPr>
          <w:rFonts w:cstheme="minorHAnsi"/>
          <w:b/>
          <w:sz w:val="24"/>
        </w:rPr>
        <w:t>.</w:t>
      </w:r>
    </w:p>
    <w:p w:rsidR="008858CF" w:rsidRPr="00715E6A" w:rsidRDefault="008858CF" w:rsidP="008858C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15E6A">
        <w:rPr>
          <w:rFonts w:asciiTheme="minorHAnsi" w:hAnsiTheme="minorHAnsi" w:cstheme="minorHAnsi"/>
        </w:rPr>
        <w:t>Monitoring procesu realizacji Planu jest niezbędnym elementem oceny, w jakim zakresie wdrażane są podjęte postanowienia i zobowiązania. Jest to również ważny elementem procesu analizy i zarządzania ryzykiem. Dzięki odpowiednio dobranym wskaźnikom możliwa jest bieżąca identyfikacja potencjalnych zagrożeń, naniesienie stosownych korekt, a także podjęcie działań dostosowawczych i naprawczych.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PGN realizuje cele rozwoju gminy w zakresie redukcji niskiej emisji, do których należy zaliczyć: rozwój niskoem</w:t>
      </w:r>
      <w:r>
        <w:rPr>
          <w:rFonts w:cstheme="minorHAnsi"/>
          <w:sz w:val="24"/>
        </w:rPr>
        <w:t>isyjnych źródeł energii, poprawę</w:t>
      </w:r>
      <w:r w:rsidRPr="00483CCE">
        <w:rPr>
          <w:rFonts w:cstheme="minorHAnsi"/>
          <w:sz w:val="24"/>
        </w:rPr>
        <w:t xml:space="preserve"> efektywności energetycznej, popraw</w:t>
      </w:r>
      <w:r>
        <w:rPr>
          <w:rFonts w:cstheme="minorHAnsi"/>
          <w:sz w:val="24"/>
        </w:rPr>
        <w:t>ę</w:t>
      </w:r>
      <w:r w:rsidRPr="00483CCE">
        <w:rPr>
          <w:rFonts w:cstheme="minorHAnsi"/>
          <w:sz w:val="24"/>
        </w:rPr>
        <w:t xml:space="preserve"> efektywności gospodarowania surowcami i materiałami, rozwój i wykorzystanie </w:t>
      </w:r>
      <w:r w:rsidRPr="00483CCE">
        <w:rPr>
          <w:rFonts w:cstheme="minorHAnsi"/>
          <w:sz w:val="24"/>
        </w:rPr>
        <w:lastRenderedPageBreak/>
        <w:t>technologii niskoemisyjnych, zapob</w:t>
      </w:r>
      <w:r>
        <w:rPr>
          <w:rFonts w:cstheme="minorHAnsi"/>
          <w:sz w:val="24"/>
        </w:rPr>
        <w:t>ieganie powstawaniu oraz poprawę</w:t>
      </w:r>
      <w:r w:rsidRPr="00483CCE">
        <w:rPr>
          <w:rFonts w:cstheme="minorHAnsi"/>
          <w:sz w:val="24"/>
        </w:rPr>
        <w:t xml:space="preserve"> efektywności g</w:t>
      </w:r>
      <w:r>
        <w:rPr>
          <w:rFonts w:cstheme="minorHAnsi"/>
          <w:sz w:val="24"/>
        </w:rPr>
        <w:t>ospodarowania odpadami, promocję</w:t>
      </w:r>
      <w:r w:rsidRPr="00483CCE">
        <w:rPr>
          <w:rFonts w:cstheme="minorHAnsi"/>
          <w:sz w:val="24"/>
        </w:rPr>
        <w:t xml:space="preserve"> nowych </w:t>
      </w:r>
      <w:r>
        <w:rPr>
          <w:rFonts w:cstheme="minorHAnsi"/>
          <w:sz w:val="24"/>
        </w:rPr>
        <w:t>wzorców konsumpcji oraz promocję</w:t>
      </w:r>
      <w:r w:rsidRPr="00483CCE">
        <w:rPr>
          <w:rFonts w:cstheme="minorHAnsi"/>
          <w:sz w:val="24"/>
        </w:rPr>
        <w:t xml:space="preserve"> proekolog</w:t>
      </w:r>
      <w:r>
        <w:rPr>
          <w:rFonts w:cstheme="minorHAnsi"/>
          <w:sz w:val="24"/>
        </w:rPr>
        <w:t>icznych i </w:t>
      </w:r>
      <w:proofErr w:type="spellStart"/>
      <w:r w:rsidRPr="00483CCE">
        <w:rPr>
          <w:rFonts w:cstheme="minorHAnsi"/>
          <w:sz w:val="24"/>
        </w:rPr>
        <w:t>proobywatelskich</w:t>
      </w:r>
      <w:proofErr w:type="spellEnd"/>
      <w:r w:rsidRPr="00483CCE">
        <w:rPr>
          <w:rFonts w:cstheme="minorHAnsi"/>
          <w:sz w:val="24"/>
        </w:rPr>
        <w:t xml:space="preserve"> postaw. 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Celem opracowania i uchwalenia Planu Gospodarki Niskoemisyjnej dla Gminy Nieporęt jest przede wszystkim realizacja celów zawartych w pakiecie klimatyczno-energetycznym, do których należą:</w:t>
      </w:r>
    </w:p>
    <w:p w:rsidR="008858CF" w:rsidRPr="00483CCE" w:rsidRDefault="008858CF" w:rsidP="008858CF">
      <w:pPr>
        <w:numPr>
          <w:ilvl w:val="0"/>
          <w:numId w:val="1"/>
        </w:num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redukcja emisji gazów cieplarnianych,</w:t>
      </w:r>
    </w:p>
    <w:p w:rsidR="008858CF" w:rsidRPr="00483CCE" w:rsidRDefault="008858CF" w:rsidP="008858CF">
      <w:pPr>
        <w:numPr>
          <w:ilvl w:val="0"/>
          <w:numId w:val="1"/>
        </w:num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zwiększenie udziału energii pochodzącej ze źródeł odnawialnych,</w:t>
      </w:r>
    </w:p>
    <w:p w:rsidR="008858CF" w:rsidRPr="00483CCE" w:rsidRDefault="008858CF" w:rsidP="008858CF">
      <w:pPr>
        <w:numPr>
          <w:ilvl w:val="0"/>
          <w:numId w:val="1"/>
        </w:num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redukcja zużycia energii finalnej – poprawa efektywności energetycznej.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Należy mieć jednakże na uwadze zróżnicowane możliwości zmniejszenia oddziaływania człowieka na środowisko w obszarach miejskich (silnie zurbanizowanych, uprzemysłowionych o dużym ruchu samochodowym) i na obszarach wiejskich, w których głównym źródłem emisji są lokalne kotły węglowe. Oznacza to, że poszczególne cele pakietu klimatyczno-energetycznego, mogą być w zależności od uwarunkowań lokalnych zrealizowane w różnym stopniu, stąd też wyznaczenie celów dokumentu musi być bardzo głęboko osadzone w specyfice lokalnej. 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p w:rsidR="008858CF" w:rsidRPr="007C4104" w:rsidRDefault="008858CF" w:rsidP="008858CF">
      <w:pPr>
        <w:spacing w:line="360" w:lineRule="auto"/>
        <w:contextualSpacing/>
        <w:rPr>
          <w:rFonts w:cstheme="minorHAnsi"/>
          <w:b/>
          <w:bCs/>
          <w:caps/>
          <w:sz w:val="32"/>
          <w:szCs w:val="32"/>
        </w:rPr>
      </w:pPr>
      <w:r w:rsidRPr="007C4104">
        <w:rPr>
          <w:rFonts w:cstheme="minorHAnsi"/>
          <w:b/>
          <w:caps/>
          <w:sz w:val="32"/>
          <w:szCs w:val="32"/>
        </w:rPr>
        <w:t>Cele szczegółowe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lastRenderedPageBreak/>
        <w:t>Podstawą określenia zadań zmierzających do realizacji celów strategicznych, są obszary wyznaczone przez cele szczegółowe – pozwalają one zakreślić priorytetowe sfery, na które może oddziaływać Plan Gospodarki Niskoemisyjnej, które z jednej strony znacząco przyczyniają się do emisji dwutlenku węgla z drugiej cechują się potencjałem do obniżenia tego niekorzystnego oddziaływania. Cele szczegółowe określono jako ramowe dla dalszego podejmowania decyzji oraz funkcjonowania monitoringu realizacji przedsięwzięć PGN.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7C4104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  <w:r w:rsidRPr="007C4104">
        <w:rPr>
          <w:rFonts w:cstheme="minorHAnsi"/>
          <w:b/>
          <w:sz w:val="24"/>
        </w:rPr>
        <w:t xml:space="preserve">Cele szczegółowe: 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Gmina Nieporęt jako miejsce zarządzane w sposób zrównoważony i ekologiczny.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Ograniczenie emisji CO</w:t>
      </w:r>
      <w:r w:rsidRPr="007C4104">
        <w:rPr>
          <w:rFonts w:cstheme="minorHAnsi"/>
          <w:b/>
          <w:sz w:val="24"/>
          <w:szCs w:val="24"/>
          <w:vertAlign w:val="subscript"/>
        </w:rPr>
        <w:t>2</w:t>
      </w:r>
      <w:r w:rsidRPr="007C4104">
        <w:rPr>
          <w:rFonts w:cstheme="minorHAnsi"/>
          <w:b/>
          <w:sz w:val="24"/>
          <w:szCs w:val="24"/>
        </w:rPr>
        <w:t xml:space="preserve"> oraz emisji zanieczyszczeń z instalacji wykorzystywanych na terenie gminy, a także emisji pochodzącej z transportu,</w:t>
      </w:r>
      <w:r>
        <w:rPr>
          <w:rFonts w:cstheme="minorHAnsi"/>
          <w:b/>
          <w:sz w:val="24"/>
          <w:szCs w:val="24"/>
        </w:rPr>
        <w:t xml:space="preserve"> zużycia energii elektrycznej i </w:t>
      </w:r>
      <w:r w:rsidRPr="007C4104">
        <w:rPr>
          <w:rFonts w:cstheme="minorHAnsi"/>
          <w:b/>
          <w:sz w:val="24"/>
          <w:szCs w:val="24"/>
        </w:rPr>
        <w:t>paliw opałowych.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Zwiększenie energii pochodzącej ze źródeł odnawialnych.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Poprawa ładu przestrzennego, rozwój zrównoważonej przestrzeni publicznej.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Realizacja idei wzorcowej roli sektora publicznego w zakresie oszczędnego gospodarowania energią.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Zwiększenie świadomości mieszkańców dotyczącej ich wpływu na gospodarkę lokalną.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Promocja wizji zrównoważonego transportu.</w:t>
      </w:r>
    </w:p>
    <w:p w:rsidR="008858CF" w:rsidRPr="007C4104" w:rsidRDefault="008858CF" w:rsidP="008858CF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4104">
        <w:rPr>
          <w:rFonts w:cstheme="minorHAnsi"/>
          <w:b/>
          <w:sz w:val="24"/>
          <w:szCs w:val="24"/>
        </w:rPr>
        <w:t>Promocja efektywnego energetycznie oświetlenia.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C4104">
        <w:rPr>
          <w:rFonts w:cstheme="minorHAnsi"/>
          <w:b/>
          <w:bCs/>
          <w:iCs/>
          <w:sz w:val="24"/>
        </w:rPr>
        <w:t>Cel szczegółowy 1:</w:t>
      </w:r>
      <w:r w:rsidRPr="00483CCE">
        <w:rPr>
          <w:rFonts w:cstheme="minorHAnsi"/>
          <w:bCs/>
          <w:iCs/>
          <w:sz w:val="24"/>
        </w:rPr>
        <w:t xml:space="preserve"> </w:t>
      </w:r>
      <w:r w:rsidRPr="00483CCE">
        <w:rPr>
          <w:rFonts w:cstheme="minorHAnsi"/>
          <w:sz w:val="24"/>
        </w:rPr>
        <w:t>Istotnym celem jest pełnienie funkcji koordynującej i wspierającej działania pozytywnie wpływające na rozwój zrównoważonej lokalnej polityki energetycznej. Ponadto ważne jest pełnienie roli wzorca w realizowaniu</w:t>
      </w:r>
      <w:r>
        <w:rPr>
          <w:rFonts w:cstheme="minorHAnsi"/>
          <w:sz w:val="24"/>
        </w:rPr>
        <w:t xml:space="preserve"> działań proefektywnościowych i </w:t>
      </w:r>
      <w:r w:rsidRPr="00483CCE">
        <w:rPr>
          <w:rFonts w:cstheme="minorHAnsi"/>
          <w:sz w:val="24"/>
        </w:rPr>
        <w:t>proekologicznych, zarówno w przedsięwzięciach inwestycyjnych związanych z efektywnością energetyczną, jak i wykorzystaniem odnawialnych źródeł energii. Celem jest rozwój systemów zarządzania uwzględniających lokalne potrzeby i uwarunkowania, wspierających systemy podejmowania decyzji strategicznych oraz szczegółowych.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C4104">
        <w:rPr>
          <w:rFonts w:cstheme="minorHAnsi"/>
          <w:b/>
          <w:bCs/>
          <w:iCs/>
          <w:sz w:val="24"/>
        </w:rPr>
        <w:lastRenderedPageBreak/>
        <w:t xml:space="preserve">Cel szczegółowy 2: </w:t>
      </w:r>
      <w:r w:rsidRPr="00483CCE">
        <w:rPr>
          <w:rFonts w:cstheme="minorHAnsi"/>
          <w:sz w:val="24"/>
        </w:rPr>
        <w:t>Jednym z głównych celów realizacji PGN jest ograniczenie emisji CO</w:t>
      </w:r>
      <w:r w:rsidRPr="00483CCE">
        <w:rPr>
          <w:rFonts w:cstheme="minorHAnsi"/>
          <w:sz w:val="24"/>
          <w:vertAlign w:val="subscript"/>
        </w:rPr>
        <w:t>2</w:t>
      </w:r>
      <w:r w:rsidRPr="00483CCE">
        <w:rPr>
          <w:rFonts w:cstheme="minorHAnsi"/>
          <w:sz w:val="24"/>
        </w:rPr>
        <w:t xml:space="preserve"> oraz gazów cieplarnianych zgodnie z europejską polityką klimatyczną. Ponadto, istotne jest spełnienie wymogów norm dotyczących jakości powietrza.</w:t>
      </w:r>
    </w:p>
    <w:p w:rsidR="008858CF" w:rsidRPr="00483CCE" w:rsidRDefault="008858CF" w:rsidP="008858CF">
      <w:pPr>
        <w:pStyle w:val="Akapitzlist"/>
        <w:numPr>
          <w:ilvl w:val="0"/>
          <w:numId w:val="4"/>
        </w:numPr>
        <w:tabs>
          <w:tab w:val="num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483CCE">
        <w:rPr>
          <w:rFonts w:cstheme="minorHAnsi"/>
          <w:sz w:val="24"/>
          <w:szCs w:val="24"/>
        </w:rPr>
        <w:t xml:space="preserve">Transport: Emisja z transportu generowana jest przez transport lokalny (mieszkańców poruszających się na terenie gminy). Niestety możliwości redukcji emisji w tym sektorze są niewielkie. Działania gminy w tym obszarze ograniczają się jedynie do poszukiwania alternatywnych środków transportu, którym sprzyja rozwój ścieżek rowerowych, czy komunikacji lokalnej. </w:t>
      </w:r>
    </w:p>
    <w:p w:rsidR="008858CF" w:rsidRPr="00483CCE" w:rsidRDefault="008858CF" w:rsidP="008858CF">
      <w:pPr>
        <w:pStyle w:val="Akapitzlist"/>
        <w:numPr>
          <w:ilvl w:val="0"/>
          <w:numId w:val="4"/>
        </w:numPr>
        <w:tabs>
          <w:tab w:val="num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483CCE">
        <w:rPr>
          <w:rFonts w:cstheme="minorHAnsi"/>
          <w:sz w:val="24"/>
          <w:szCs w:val="24"/>
        </w:rPr>
        <w:t xml:space="preserve">Zużycie energii elektrycznej: Redukcja emisji wynikających ze zużycia energii elektrycznej przez odbiorców końcowych, może zostać ograniczona w ramach poprawy efektywności energetycznej obiektów (obniżenie zużycia energii w obiektach mieszkalnych i komercyjnych) oraz wytwarzania energii elektrycznej w rozproszonych </w:t>
      </w:r>
      <w:proofErr w:type="spellStart"/>
      <w:r w:rsidRPr="00483CCE">
        <w:rPr>
          <w:rFonts w:cstheme="minorHAnsi"/>
          <w:sz w:val="24"/>
          <w:szCs w:val="24"/>
        </w:rPr>
        <w:t>mikroinstalacjach</w:t>
      </w:r>
      <w:proofErr w:type="spellEnd"/>
      <w:r w:rsidRPr="00483CCE">
        <w:rPr>
          <w:rFonts w:cstheme="minorHAnsi"/>
          <w:sz w:val="24"/>
          <w:szCs w:val="24"/>
        </w:rPr>
        <w:t xml:space="preserve"> wykorzystujących odnawialne źródła energii, które nie generują szkodliwych zanieczyszczeń. W szczególności potencjałem rozwojowym wykazują się instalacje fotowoltaiczne i </w:t>
      </w:r>
      <w:proofErr w:type="spellStart"/>
      <w:r w:rsidRPr="00483CCE">
        <w:rPr>
          <w:rFonts w:cstheme="minorHAnsi"/>
          <w:sz w:val="24"/>
          <w:szCs w:val="24"/>
        </w:rPr>
        <w:t>mikroturbiny</w:t>
      </w:r>
      <w:proofErr w:type="spellEnd"/>
      <w:r w:rsidRPr="00483CCE">
        <w:rPr>
          <w:rFonts w:cstheme="minorHAnsi"/>
          <w:sz w:val="24"/>
          <w:szCs w:val="24"/>
        </w:rPr>
        <w:t xml:space="preserve"> wiatrowe, które można zamontować nie tylko na obiektach publicznych, ale także na dachach domów jednorodzinnych.</w:t>
      </w:r>
    </w:p>
    <w:p w:rsidR="008858CF" w:rsidRPr="00483CCE" w:rsidRDefault="008858CF" w:rsidP="008858CF">
      <w:pPr>
        <w:pStyle w:val="Akapitzlist"/>
        <w:numPr>
          <w:ilvl w:val="0"/>
          <w:numId w:val="4"/>
        </w:numPr>
        <w:tabs>
          <w:tab w:val="num" w:pos="255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483CCE">
        <w:rPr>
          <w:rFonts w:cstheme="minorHAnsi"/>
          <w:sz w:val="24"/>
          <w:szCs w:val="24"/>
        </w:rPr>
        <w:t xml:space="preserve">Zużycie paliw opałowych: Szczególną szkodliwością charakteryzują się lokalne kotły węglowe generujące tzw. niską emisję, gdzie oprócz dwutlenku węgla do atmosfery emitowane są szkodliwe i uciążliwe pyły. W obszarze tym szczególnie istotne jest wspieranie działań związanych z wymianą źródeł ciepła na bardziej ekologiczne (gazowe, </w:t>
      </w:r>
      <w:proofErr w:type="spellStart"/>
      <w:r w:rsidRPr="00483CCE">
        <w:rPr>
          <w:rFonts w:cstheme="minorHAnsi"/>
          <w:sz w:val="24"/>
          <w:szCs w:val="24"/>
        </w:rPr>
        <w:t>biomasowe</w:t>
      </w:r>
      <w:proofErr w:type="spellEnd"/>
      <w:r w:rsidRPr="00483CCE">
        <w:rPr>
          <w:rFonts w:cstheme="minorHAnsi"/>
          <w:sz w:val="24"/>
          <w:szCs w:val="24"/>
        </w:rPr>
        <w:t>) oraz promowanie energooszczędnego budownictwa – w szczególności domów pasywnych o bardzo niskich stratach cieplnych. Wzór dla mieszkańców może stanowić również termomodernizacja obiektów publicznych, która sprzyja redukcji zapotrzebowania na energię elektryczną.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C4104">
        <w:rPr>
          <w:rFonts w:cstheme="minorHAnsi"/>
          <w:b/>
          <w:bCs/>
          <w:iCs/>
          <w:sz w:val="24"/>
        </w:rPr>
        <w:t>Cel szczegółowy 3:</w:t>
      </w:r>
      <w:r w:rsidRPr="00483CCE">
        <w:rPr>
          <w:rFonts w:cstheme="minorHAnsi"/>
          <w:bCs/>
          <w:i/>
          <w:iCs/>
          <w:sz w:val="24"/>
        </w:rPr>
        <w:t xml:space="preserve"> </w:t>
      </w:r>
      <w:r w:rsidRPr="00483CCE">
        <w:rPr>
          <w:rFonts w:cstheme="minorHAnsi"/>
          <w:sz w:val="24"/>
        </w:rPr>
        <w:t xml:space="preserve">Jednym z najważniejszych celów szczegółowych jest zwiększenie produkcji energii pochodzącej ze źródeł odnawialnych. Coraz większa ekonomiczna opłacalność wykorzystywania tego typu technologii może mieć kluczowe znaczenie dla promocji technologii związanych z energią słoneczną czy geotermalną. Dlatego też głównym celem będzie wsparcie wykorzystania OZE zarówno poprzez pilotażowe działania inwestycyjne, jak również promocję i edukację mieszkańców/inwestorów, oraz w efekcie zwiększenie udziału wykorzystywanej energii pochodzącej ze źródeł odnawialnych. Bilans </w:t>
      </w:r>
      <w:r w:rsidRPr="00483CCE">
        <w:rPr>
          <w:rFonts w:cstheme="minorHAnsi"/>
          <w:sz w:val="24"/>
        </w:rPr>
        <w:lastRenderedPageBreak/>
        <w:t>energetyczny gminy oparty m.in. o wykorzystanie OZE zwiększa bezpieczeństwo energetyczne gminy, wpływając na niezależność lokalnych użytkowników energii od sytuacji występującej na rynku nośników sieciowych.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15E6A">
        <w:rPr>
          <w:rFonts w:cstheme="minorHAnsi"/>
          <w:b/>
          <w:bCs/>
          <w:iCs/>
          <w:sz w:val="24"/>
        </w:rPr>
        <w:t>Cel szczegółowy 4:</w:t>
      </w:r>
      <w:r w:rsidRPr="00483CCE">
        <w:rPr>
          <w:rFonts w:cstheme="minorHAnsi"/>
          <w:bCs/>
          <w:i/>
          <w:iCs/>
          <w:sz w:val="24"/>
        </w:rPr>
        <w:t xml:space="preserve"> </w:t>
      </w:r>
      <w:r w:rsidRPr="00483CCE">
        <w:rPr>
          <w:rFonts w:cstheme="minorHAnsi"/>
          <w:sz w:val="24"/>
        </w:rPr>
        <w:t>Osiągnięcie ładu przestrzennego stanowi jedno z największych wyzwań współczesnych gmin i ma ogromny wpływ na atrakcyjność migracyjną ludności. Celem jest osiągnięcie statusu gminy, w której wysoki poziom życia powoduje dodatni przyrost migracji, oraz wysoki stopień zadowolenia mieszkańców. Ład przestrzenny bezpośrednio wpływa na atrakcyjność korzystania ze struktur urbanistycznych, przestrzeń wykorzystywana publicznie powinna zachęcać do przebywania i inwestowania w obrębie gminy.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15E6A">
        <w:rPr>
          <w:rFonts w:cstheme="minorHAnsi"/>
          <w:b/>
          <w:bCs/>
          <w:iCs/>
          <w:sz w:val="24"/>
        </w:rPr>
        <w:t>Cel szczegółowy 5:</w:t>
      </w:r>
      <w:r w:rsidRPr="00483CCE">
        <w:rPr>
          <w:rFonts w:cstheme="minorHAnsi"/>
          <w:bCs/>
          <w:iCs/>
          <w:sz w:val="24"/>
        </w:rPr>
        <w:t xml:space="preserve"> </w:t>
      </w:r>
      <w:r w:rsidRPr="00483CCE">
        <w:rPr>
          <w:rFonts w:cstheme="minorHAnsi"/>
          <w:sz w:val="24"/>
        </w:rPr>
        <w:t>Idea wzorcowej roli sektora publicznego znajduje się w krajowych dokumentach strategicznych. Celem jest, aby zarówno działania jak i przedsięwzięcia, które będą realizowane przez jednostkę samorządu terytorialnego w przyszłości pełniły rolę wzorca dla mieszkańców i inwestorów. Można to osiągnąć zarówno poprzez działania inwestycyjne, jak i systemowe, a następnie poprzez dotarcie z opisem realizowanych przedsięwzięć do zainteresowanych grup (np. poprzez informacje na stronie internetowej).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15E6A">
        <w:rPr>
          <w:rFonts w:cstheme="minorHAnsi"/>
          <w:b/>
          <w:bCs/>
          <w:iCs/>
          <w:sz w:val="24"/>
        </w:rPr>
        <w:t>Cel szczegółowy 6:</w:t>
      </w:r>
      <w:r w:rsidRPr="00483CCE">
        <w:rPr>
          <w:rFonts w:cstheme="minorHAnsi"/>
          <w:bCs/>
          <w:i/>
          <w:iCs/>
          <w:sz w:val="24"/>
        </w:rPr>
        <w:t xml:space="preserve"> </w:t>
      </w:r>
      <w:r w:rsidRPr="00483CCE">
        <w:rPr>
          <w:rFonts w:cstheme="minorHAnsi"/>
          <w:sz w:val="24"/>
        </w:rPr>
        <w:t>Zwiększenie partycypacji społecznej w działaniach na rzecz zrównoważonego rozwoju gminy ma podstawowe znaczenie w kontekście realizacji poszczególnych celów planu. Działania edukacyjne i informacyjne pozwolą na podejmowanie świadomych decyzji inwestycyjnych oraz eksploatacyjnych, związanych z wykorzystywaniem energii i paliw. Przewiduje się, że realizacja tego celu wpłynie korzystnie na podniesienie świadomości ekologicznej i kompetencji nie tylko użytkowników obiektów, lecz także na wykonawców, w tym architektów i projektantów. Istotne jest zaangażowanie dzieci i młodzieży w ramach kształtowania odpowiednich postaw proekologicznych. Ważne, aby jak największa grupa mieszkańców gminy brała czynny udział w proekologicznych działaniach władz samorządowych.</w:t>
      </w: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15E6A">
        <w:rPr>
          <w:rFonts w:cstheme="minorHAnsi"/>
          <w:b/>
          <w:bCs/>
          <w:iCs/>
          <w:sz w:val="24"/>
        </w:rPr>
        <w:t>Cel szczegółowy 7:</w:t>
      </w:r>
      <w:r w:rsidRPr="00483CCE">
        <w:rPr>
          <w:rFonts w:cstheme="minorHAnsi"/>
          <w:bCs/>
          <w:i/>
          <w:iCs/>
          <w:sz w:val="24"/>
        </w:rPr>
        <w:t xml:space="preserve"> </w:t>
      </w:r>
      <w:r w:rsidRPr="00483CCE">
        <w:rPr>
          <w:rFonts w:cstheme="minorHAnsi"/>
          <w:sz w:val="24"/>
        </w:rPr>
        <w:t xml:space="preserve">Wpływ gminy na uczestników transportu jest dość ograniczony. Mimo to istnieje duży wachlarz działań promocyjnych, które mogą bezpośrednio wpływać na zachowania i decyzje podejmowane przez mieszkańców/kierowców. Promocja transportu ekologicznego może przebiegać np. w oparciu o pełnienie roli wzorca, wykorzystującego nowoczesne i ekologiczne rozwiązania. </w:t>
      </w:r>
    </w:p>
    <w:p w:rsidR="008858CF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Cs/>
          <w:iCs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sz w:val="24"/>
        </w:rPr>
      </w:pPr>
      <w:r w:rsidRPr="00715E6A">
        <w:rPr>
          <w:rFonts w:cstheme="minorHAnsi"/>
          <w:b/>
          <w:bCs/>
          <w:iCs/>
          <w:sz w:val="24"/>
        </w:rPr>
        <w:lastRenderedPageBreak/>
        <w:t>Cel szczegółowy 8:</w:t>
      </w:r>
      <w:r w:rsidRPr="00483CCE">
        <w:rPr>
          <w:rFonts w:cstheme="minorHAnsi"/>
          <w:bCs/>
          <w:i/>
          <w:iCs/>
          <w:sz w:val="24"/>
        </w:rPr>
        <w:t xml:space="preserve"> </w:t>
      </w:r>
      <w:r w:rsidRPr="00483CCE">
        <w:rPr>
          <w:rFonts w:cstheme="minorHAnsi"/>
          <w:sz w:val="24"/>
        </w:rPr>
        <w:t>Wykorzystywanie zaawansowanych technologii na obszarze gminy powinno być nieustannie promowane. Energooszczędne rozwiązania w dziedzinie oświetlenia publicznego stają się coraz bardziej popularne oraz coraz mniej kosztowne. Rynek oświetlenia typu LED staje się coraz bardziej prężny dopasowując się do wymagań klientów. Realizacja inwestycji w tym zakresie zmniejszy zużycie energii w systemie oświetlenia ulicznego, mając jednocześnie na celu popularyzację energooszczędnego oświetlenia wśród mieszkańców.</w:t>
      </w: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/>
          <w:sz w:val="24"/>
        </w:rPr>
      </w:pPr>
    </w:p>
    <w:p w:rsidR="008858CF" w:rsidRPr="00483CCE" w:rsidRDefault="008858CF" w:rsidP="008858CF">
      <w:pPr>
        <w:tabs>
          <w:tab w:val="num" w:pos="2552"/>
        </w:tabs>
        <w:spacing w:line="360" w:lineRule="auto"/>
        <w:contextualSpacing/>
        <w:rPr>
          <w:rFonts w:cstheme="minorHAnsi"/>
          <w:b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b/>
          <w:sz w:val="24"/>
        </w:rPr>
        <w:sectPr w:rsidR="008858CF" w:rsidRPr="00483C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58CF" w:rsidRPr="00715E6A" w:rsidRDefault="008858CF" w:rsidP="008858CF">
      <w:pPr>
        <w:spacing w:line="360" w:lineRule="auto"/>
        <w:contextualSpacing/>
        <w:rPr>
          <w:rFonts w:cstheme="minorHAnsi"/>
          <w:b/>
          <w:sz w:val="32"/>
          <w:szCs w:val="32"/>
        </w:rPr>
      </w:pPr>
      <w:r w:rsidRPr="00715E6A">
        <w:rPr>
          <w:rFonts w:cstheme="minorHAnsi"/>
          <w:b/>
          <w:sz w:val="32"/>
          <w:szCs w:val="32"/>
        </w:rPr>
        <w:lastRenderedPageBreak/>
        <w:t>EWALUACJA ZADAŃ INWESTYCYJNYCH i NIEINWESTYCYJNYCH DO ROKU 2020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tbl>
      <w:tblPr>
        <w:tblW w:w="13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727"/>
        <w:gridCol w:w="1275"/>
        <w:gridCol w:w="1134"/>
        <w:gridCol w:w="1134"/>
        <w:gridCol w:w="1418"/>
        <w:gridCol w:w="992"/>
        <w:gridCol w:w="851"/>
        <w:gridCol w:w="2126"/>
        <w:gridCol w:w="1984"/>
      </w:tblGrid>
      <w:tr w:rsidR="008858CF" w:rsidRPr="00483CCE" w:rsidTr="008038BA">
        <w:trPr>
          <w:trHeight w:val="315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Działanie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Adresat działania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Szacowany koszt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Efekt ekologiczny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0CECE"/>
            <w:noWrap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Stan realizacji na 17.08.2020: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inwestycji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rozpoczęcie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zakończenie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0CECE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Mg CO2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8CF" w:rsidRPr="00483CCE" w:rsidTr="008038BA">
        <w:trPr>
          <w:trHeight w:val="3467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Budowa systemu kolektorów słonecznych na terenie GMINY NIEPORĘT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 /mieszkańcy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4 550 000,00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2278,92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4 550 000,00</w:t>
            </w:r>
          </w:p>
        </w:tc>
      </w:tr>
      <w:tr w:rsidR="008858CF" w:rsidRPr="00483CCE" w:rsidTr="008038BA">
        <w:trPr>
          <w:trHeight w:val="1140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Modernizacja oświetlenia ulicznego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 xml:space="preserve">Urząd Gminy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455 558,81</w:t>
            </w:r>
          </w:p>
        </w:tc>
      </w:tr>
      <w:tr w:rsidR="008858CF" w:rsidRPr="00483CCE" w:rsidTr="008038BA">
        <w:trPr>
          <w:trHeight w:val="3362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Projekt i budowa sali gimnastycznej przy Szkole Podstawowej w Białobrzegach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 xml:space="preserve">Urząd Gminy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2 556 162,00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4 382 084,27</w:t>
            </w:r>
          </w:p>
        </w:tc>
      </w:tr>
      <w:tr w:rsidR="008858CF" w:rsidRPr="00483CCE" w:rsidTr="008038BA">
        <w:trPr>
          <w:trHeight w:val="4563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Projekt i przebudowa ul. Głównej w Józefowie, ul. Spacerowej w Białobrzegach, ul. Głównej w Ryni, ul. Dworcowej w Nieporęcie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 xml:space="preserve">Urząd Gminy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151 000,00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2 253 039,5</w:t>
            </w:r>
          </w:p>
        </w:tc>
      </w:tr>
      <w:tr w:rsidR="008858CF" w:rsidRPr="00483CCE" w:rsidTr="008038BA">
        <w:trPr>
          <w:trHeight w:val="1501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Projekt i rozbudowa Szkoły Podstawowej w Józefowie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 xml:space="preserve">Urząd Gminy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2 025 000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1 952 970,40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Przebudowa Szkoły Podstawowej w Nieporęcie wraz z zagospodarowaniem terenu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 xml:space="preserve">Urząd Gminy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957 000,00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360,34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117,92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1 934 056,51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Projekt i rozbudowa budynku Urzędu Gminy wraz z wyposażeniem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3 917 035,00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4 165 208,72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„Projekt i budowa ścieżek rowerowych na terenie gminy Nieporęt”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Budowa ścieżek rowerowych: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- ul. Wojska Polskiego w Białobrzegach – ul. Fortowa w Beniaminowie: dr. pow. nr 4303W – asfaltowa - 4,5 km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 xml:space="preserve">ul. </w:t>
            </w:r>
            <w:proofErr w:type="spellStart"/>
            <w:r w:rsidRPr="00483CCE">
              <w:rPr>
                <w:rFonts w:cstheme="minorHAnsi"/>
                <w:sz w:val="18"/>
                <w:szCs w:val="18"/>
              </w:rPr>
              <w:t>Strużańska</w:t>
            </w:r>
            <w:proofErr w:type="spellEnd"/>
            <w:r w:rsidRPr="00483CCE">
              <w:rPr>
                <w:rFonts w:cstheme="minorHAnsi"/>
                <w:sz w:val="18"/>
                <w:szCs w:val="18"/>
              </w:rPr>
              <w:t xml:space="preserve"> w Józefowie: dr. woj. nr 632 - asfaltowa 3,15 km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- wzdłuż Kanału Żerańskiego od granicy z m.st Warszawą do Jeziora Zegrzyńskiego - 8km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lastRenderedPageBreak/>
              <w:t xml:space="preserve">- ul. Spacerowa w Białobrzegach i Główna w </w:t>
            </w:r>
            <w:proofErr w:type="spellStart"/>
            <w:r w:rsidRPr="00483CCE">
              <w:rPr>
                <w:rFonts w:cstheme="minorHAnsi"/>
                <w:sz w:val="18"/>
                <w:szCs w:val="18"/>
              </w:rPr>
              <w:t>Rynii</w:t>
            </w:r>
            <w:proofErr w:type="spellEnd"/>
            <w:r w:rsidRPr="00483CCE">
              <w:rPr>
                <w:rFonts w:cstheme="minorHAnsi"/>
                <w:sz w:val="18"/>
                <w:szCs w:val="18"/>
              </w:rPr>
              <w:t xml:space="preserve">  - 1,6 km</w:t>
            </w:r>
          </w:p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lastRenderedPageBreak/>
              <w:t>Urząd Gminy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650 000,00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794,74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 xml:space="preserve">  Ok. 16 000 000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Modernizacja budynku Szkoły Podstawowej w Wólce Radzymińskiej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692 700,00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969 617,71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Instalacja systemów odnawialnych źródeł energii na terenie gminy Nieporęt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Brak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 xml:space="preserve">Produkcja energii elektrycznej w instalacjach </w:t>
            </w:r>
            <w:proofErr w:type="spellStart"/>
            <w:r w:rsidRPr="00483CCE">
              <w:rPr>
                <w:rFonts w:cstheme="minorHAnsi"/>
                <w:sz w:val="18"/>
                <w:szCs w:val="18"/>
              </w:rPr>
              <w:t>prosumenckich</w:t>
            </w:r>
            <w:proofErr w:type="spellEnd"/>
            <w:r w:rsidRPr="00483CCE">
              <w:rPr>
                <w:rFonts w:cstheme="minorHAnsi"/>
                <w:sz w:val="18"/>
                <w:szCs w:val="18"/>
              </w:rPr>
              <w:t xml:space="preserve"> i produkcja ciepła w OZE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Osoby prywatne/ przedsiębiorcy/pozostali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Brak danych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Wymiana źródeł ciepła z konwencjonalnych na OZE w budynkach mieszkalnych/usługowych/użyteczności publicznej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Osoby prywatne/ przedsiębiorcy/pozostali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Brak danych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Termomodernizacja obiektów mieszkalnych/usługowych/użyteczności publicznej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Osoby prywatne/ przedsiębiorcy/ pozostali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2 000 000,00</w:t>
            </w:r>
          </w:p>
        </w:tc>
      </w:tr>
      <w:tr w:rsidR="008858CF" w:rsidRPr="00483CCE" w:rsidTr="008038BA">
        <w:trPr>
          <w:trHeight w:val="1426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Termomodernizacja budynku kościoła w miejscowości Józefów przy ul. Sienkiewicza 12, gmina Nieporęt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sz w:val="18"/>
                <w:szCs w:val="18"/>
              </w:rPr>
            </w:pPr>
            <w:r w:rsidRPr="00483CCE">
              <w:rPr>
                <w:rFonts w:cstheme="minorHAnsi"/>
                <w:sz w:val="18"/>
                <w:szCs w:val="18"/>
              </w:rPr>
              <w:t>Parafia rzymskokatolicka NMP Królowej w Józefowie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643 000,00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Brak danych</w:t>
            </w:r>
          </w:p>
        </w:tc>
      </w:tr>
      <w:tr w:rsidR="008858CF" w:rsidRPr="00483CCE" w:rsidTr="008038BA">
        <w:trPr>
          <w:trHeight w:val="8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Kampanie promocyjne gospodarki niskoemisyjnej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58CF" w:rsidRPr="00483CCE" w:rsidTr="008038BA">
        <w:trPr>
          <w:trHeight w:val="8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Szkolenia w zakresie gospodarki niskoemisyjnej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ZREALIZOWANO CZĘŚCIOWO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8858CF" w:rsidRPr="00483CCE" w:rsidTr="008038BA">
        <w:trPr>
          <w:trHeight w:val="8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bCs/>
                <w:sz w:val="20"/>
                <w:szCs w:val="20"/>
              </w:rPr>
              <w:t>Zielone zamówienia publiczne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83CCE">
              <w:rPr>
                <w:rFonts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58CF" w:rsidRPr="00483CCE" w:rsidRDefault="008858CF" w:rsidP="008038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83CCE">
              <w:rPr>
                <w:rFonts w:cstheme="minorHAnsi"/>
                <w:color w:val="000000"/>
                <w:sz w:val="18"/>
                <w:szCs w:val="18"/>
              </w:rPr>
              <w:t>Brak realizacji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58CF" w:rsidRPr="00483CCE" w:rsidRDefault="008858CF" w:rsidP="008038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  <w:sectPr w:rsidR="008858CF" w:rsidSect="00E033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858CF" w:rsidRPr="00715E6A" w:rsidRDefault="008858CF" w:rsidP="008858CF">
      <w:pPr>
        <w:spacing w:line="360" w:lineRule="auto"/>
        <w:contextualSpacing/>
        <w:rPr>
          <w:rFonts w:cstheme="minorHAnsi"/>
          <w:b/>
          <w:sz w:val="32"/>
          <w:szCs w:val="32"/>
        </w:rPr>
      </w:pPr>
      <w:r w:rsidRPr="00715E6A">
        <w:rPr>
          <w:rFonts w:cstheme="minorHAnsi"/>
          <w:b/>
          <w:sz w:val="32"/>
          <w:szCs w:val="32"/>
        </w:rPr>
        <w:lastRenderedPageBreak/>
        <w:t>Nowe zadania dodane do PGN, planowane do zrealizowania w latach 2020-2023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tbl>
      <w:tblPr>
        <w:tblW w:w="13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1721"/>
        <w:gridCol w:w="2263"/>
        <w:gridCol w:w="2263"/>
        <w:gridCol w:w="2263"/>
        <w:gridCol w:w="2263"/>
      </w:tblGrid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Tytuł działania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rozpoczęcie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Koszt szacunkowy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Źródła finansowania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Podmiot odpowiedzialny – wdrażający / Uwagi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Działania UG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1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CCE">
              <w:rPr>
                <w:rFonts w:cstheme="minorHAnsi"/>
                <w:b/>
                <w:sz w:val="20"/>
                <w:szCs w:val="20"/>
              </w:rPr>
              <w:t>ZADANIA INWESTYCYJNE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Termomodernizacja budynku Szkoły Podstawowej w Stanisławowie Pierwszym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4 000 000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Fundusze UE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NFOŚiGW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83CCE">
              <w:rPr>
                <w:rFonts w:cstheme="minorHAnsi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Ścieżki rowerowe: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 xml:space="preserve"> budowa </w:t>
            </w:r>
            <w:r w:rsidRPr="00483CCE">
              <w:rPr>
                <w:rFonts w:cstheme="minorHAnsi"/>
                <w:color w:val="000000"/>
                <w:sz w:val="20"/>
                <w:szCs w:val="20"/>
              </w:rPr>
              <w:t xml:space="preserve">ścieżki rowerowej oraz  chodnika wzdłuż drogi wojewódzkiej nr 632, na odcinku </w:t>
            </w:r>
            <w:r w:rsidRPr="00483CCE">
              <w:rPr>
                <w:rFonts w:cstheme="minorHAnsi"/>
                <w:sz w:val="20"/>
                <w:szCs w:val="20"/>
              </w:rPr>
              <w:t>2206</w:t>
            </w:r>
            <w:r w:rsidRPr="00483CCE">
              <w:rPr>
                <w:rFonts w:cstheme="minorHAnsi"/>
                <w:color w:val="000000"/>
                <w:sz w:val="20"/>
                <w:szCs w:val="20"/>
              </w:rPr>
              <w:t xml:space="preserve"> m </w:t>
            </w:r>
            <w:r w:rsidRPr="00483CCE">
              <w:rPr>
                <w:rFonts w:cstheme="minorHAnsi"/>
                <w:sz w:val="20"/>
                <w:szCs w:val="20"/>
              </w:rPr>
              <w:t xml:space="preserve">od ul. Kościelnej w miejscowości Kąty Węgierskie do wysokości Kanału Żerańskiego w miejscowości Rembelszczyzna, </w:t>
            </w:r>
            <w:r w:rsidRPr="00483CCE">
              <w:rPr>
                <w:rFonts w:cstheme="minorHAnsi"/>
                <w:bCs/>
                <w:sz w:val="20"/>
                <w:szCs w:val="20"/>
              </w:rPr>
              <w:t>Wykonanie ciągu pieszo – rowerowego na odcinku od ul. Wojska Polskiego wzdłuż Zalewu Zegrzyńskiego i ul. Kąpielowej do ścieżki rowerowej na ul. Wczasowej w  miejscowości Białobrzegi na odcinku ok. 1,5 km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5 000 000,00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Fundusze UE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Modernizacja oświetlenia ulicznego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500 000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Fundusze UE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NFOŚiGW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83CCE">
              <w:rPr>
                <w:rFonts w:cstheme="minorHAnsi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Wymiana kotłów węglowych na terenie Gminy Nieporęt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500 000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bookmarkStart w:id="0" w:name="_Hlk533667567"/>
            <w:r w:rsidRPr="00483CCE">
              <w:rPr>
                <w:rFonts w:cstheme="minorHAnsi"/>
                <w:sz w:val="20"/>
                <w:szCs w:val="20"/>
              </w:rPr>
              <w:t>Termomodernizacja obiektów mieszkalnych/usługowych/użyteczności publicznej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5 000 000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/Fundusze UE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NFOŚiGW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83CCE">
              <w:rPr>
                <w:rFonts w:cstheme="minorHAnsi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lastRenderedPageBreak/>
              <w:t>Instalacja systemów odnawialnych źródeł energii na terenie gminy Nieporęt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3 000 000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 Fundusze UE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NFOŚiGW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83CCE">
              <w:rPr>
                <w:rFonts w:cstheme="minorHAnsi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1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CCE">
              <w:rPr>
                <w:rFonts w:cstheme="minorHAnsi"/>
                <w:b/>
                <w:sz w:val="20"/>
                <w:szCs w:val="20"/>
              </w:rPr>
              <w:t>ZADANIA NIEINWESTYCYJNE</w:t>
            </w:r>
          </w:p>
        </w:tc>
      </w:tr>
      <w:bookmarkEnd w:id="0"/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Inwentaryzacja kotłów węglowych na terenie Gminy Nieporęt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60 000,00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 / Fundusze UE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NFOŚiGW /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83CCE">
              <w:rPr>
                <w:rFonts w:cstheme="minorHAnsi"/>
                <w:sz w:val="20"/>
                <w:szCs w:val="20"/>
              </w:rPr>
              <w:t>WFOŚiGW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Wypracowanie strategii dążenia do samodzielności energetycznej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30.000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 xml:space="preserve">budżet gminy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  <w:tr w:rsidR="008858CF" w:rsidRPr="00483CCE" w:rsidTr="008038BA">
        <w:trPr>
          <w:trHeight w:val="408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Kampanie promocyjne gospodarki niskoemisyjnej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10 000 zł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budżet gminy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UG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Lider działania</w:t>
            </w:r>
          </w:p>
        </w:tc>
      </w:tr>
    </w:tbl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  <w:bookmarkStart w:id="1" w:name="_GoBack"/>
      <w:bookmarkEnd w:id="1"/>
    </w:p>
    <w:p w:rsidR="008858CF" w:rsidRPr="00715E6A" w:rsidRDefault="008858CF" w:rsidP="008858CF">
      <w:pPr>
        <w:rPr>
          <w:rFonts w:cstheme="minorHAnsi"/>
          <w:b/>
          <w:sz w:val="32"/>
          <w:szCs w:val="32"/>
        </w:rPr>
      </w:pPr>
      <w:r w:rsidRPr="00715E6A">
        <w:rPr>
          <w:rFonts w:cstheme="minorHAnsi"/>
          <w:b/>
          <w:sz w:val="32"/>
          <w:szCs w:val="32"/>
        </w:rPr>
        <w:lastRenderedPageBreak/>
        <w:t>Powiązanie zadań inwestycyjnych z celami i szacowaną redukcją CO</w:t>
      </w:r>
      <w:r w:rsidRPr="00715E6A">
        <w:rPr>
          <w:rFonts w:cstheme="minorHAnsi"/>
          <w:b/>
          <w:sz w:val="32"/>
          <w:szCs w:val="32"/>
          <w:vertAlign w:val="subscript"/>
        </w:rPr>
        <w:t>2</w:t>
      </w:r>
      <w:r w:rsidRPr="00715E6A">
        <w:rPr>
          <w:rFonts w:cstheme="minorHAnsi"/>
          <w:b/>
          <w:sz w:val="32"/>
          <w:szCs w:val="32"/>
        </w:rPr>
        <w:t>, zużycia energii i produkcją energii z OZE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7405"/>
        <w:gridCol w:w="1647"/>
        <w:gridCol w:w="1286"/>
        <w:gridCol w:w="1327"/>
        <w:gridCol w:w="1851"/>
      </w:tblGrid>
      <w:tr w:rsidR="008858CF" w:rsidRPr="00483CCE" w:rsidTr="008038BA">
        <w:trPr>
          <w:trHeight w:val="1468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cel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Powiązanie z celami strategicznymi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Redukcja CO</w:t>
            </w: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[Mg/rok]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Redukcja zużycia energii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sz w:val="20"/>
                <w:szCs w:val="20"/>
              </w:rPr>
              <w:t>[MWh/rok]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Produkcja energii z OZE</w:t>
            </w:r>
          </w:p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sz w:val="20"/>
                <w:szCs w:val="20"/>
              </w:rPr>
              <w:t>[MWh/rok]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PROJEKTY INWESTYCYJNE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ZADANIA OBLIGATORYJNE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BUDYNKI UŻYTECZNOŚCI PUBLICZNEJ</w:t>
            </w:r>
          </w:p>
        </w:tc>
      </w:tr>
      <w:tr w:rsidR="008858CF" w:rsidRPr="00483CCE" w:rsidTr="008038BA">
        <w:trPr>
          <w:trHeight w:val="264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Termomodernizacja budynku szkoły podstawowej w Stanisławowie Pierwszym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</w:tr>
      <w:tr w:rsidR="008858CF" w:rsidRPr="00483CCE" w:rsidTr="008038BA">
        <w:trPr>
          <w:trHeight w:val="264"/>
          <w:jc w:val="center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Efekt ekologiczny zostanie osiągnięty poprzez montaż pompy ciepła, instalacji fotowoltaicznej oraz prac termomodernizacyjnych</w:t>
            </w:r>
          </w:p>
        </w:tc>
        <w:tc>
          <w:tcPr>
            <w:tcW w:w="1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Instalacja systemów odnawialnych źródeł energii na terenie gminy Nieporęt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Efekt ekologiczny zostanie osiągnięty poprzez montaż ogniw fotowoltaicznych</w:t>
            </w:r>
          </w:p>
        </w:tc>
        <w:tc>
          <w:tcPr>
            <w:tcW w:w="1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ZADANIA FAKULTATYWNE (INTERESARIUSZE ZEWNETRZNI)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pStyle w:val="Normalny2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83CCE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pStyle w:val="Normalny2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83CCE">
              <w:rPr>
                <w:rFonts w:asciiTheme="minorHAnsi" w:eastAsia="Times New Roman" w:hAnsiTheme="minorHAnsi" w:cstheme="minorHAnsi"/>
                <w:sz w:val="20"/>
                <w:szCs w:val="20"/>
              </w:rPr>
              <w:t>Termomodernizacja obiektów mieszkalnych/usługowych/użyteczności publicznej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pStyle w:val="Normalny2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pStyle w:val="Normalny2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83CCE">
              <w:rPr>
                <w:rFonts w:asciiTheme="minorHAnsi" w:eastAsia="Times New Roman" w:hAnsiTheme="minorHAnsi" w:cstheme="minorHAnsi"/>
                <w:sz w:val="20"/>
                <w:szCs w:val="20"/>
              </w:rPr>
              <w:t>Efekt ekologiczny zostanie osiągnięty poprzez głęboką termomodernizację budynku wraz z wymianą źródła ciepła</w:t>
            </w:r>
          </w:p>
        </w:tc>
        <w:tc>
          <w:tcPr>
            <w:tcW w:w="1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OŚWIETLENIE PUBLICZNE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ZADANIA OBLIGATORYJNE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 xml:space="preserve">Modernizacja oświetlenia ulicznego 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6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Efekt ekologiczny zostanie osiągnięty poprzez wymianę oświetlenia na energooszczędne.</w:t>
            </w:r>
          </w:p>
        </w:tc>
        <w:tc>
          <w:tcPr>
            <w:tcW w:w="1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1454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TRANSPORT</w:t>
            </w:r>
          </w:p>
        </w:tc>
      </w:tr>
      <w:tr w:rsidR="008858CF" w:rsidRPr="00483CCE" w:rsidTr="008038BA">
        <w:trPr>
          <w:trHeight w:val="336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ZADANIA OBLIGATORYJNE</w:t>
            </w:r>
          </w:p>
        </w:tc>
      </w:tr>
      <w:tr w:rsidR="008858CF" w:rsidRPr="00483CCE" w:rsidTr="008038BA">
        <w:trPr>
          <w:trHeight w:val="120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Ścieżki rowerowe</w:t>
            </w:r>
          </w:p>
        </w:tc>
        <w:tc>
          <w:tcPr>
            <w:tcW w:w="16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749,74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208,26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858CF" w:rsidRPr="00483CCE" w:rsidTr="008038BA">
        <w:trPr>
          <w:trHeight w:val="659"/>
          <w:jc w:val="center"/>
        </w:trPr>
        <w:tc>
          <w:tcPr>
            <w:tcW w:w="628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Szacuje się, że poprzez inwestycje w zakresie transportu, ruch lokalny w zakresie samochodów osobowych i motocykli/motorowerów spadnie o 5%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color w:val="FF0000"/>
                <w:sz w:val="20"/>
                <w:szCs w:val="20"/>
              </w:rPr>
              <w:t>(Nie przewiduje się działań inwestycyjnych w transporcie – rozumianych jako transport publiczny, tabor gminny, transport szynowy itp.),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ZADANIA FAKULTATYWNE (INTERESARIUSZE ZEWNETRZNI)</w:t>
            </w:r>
          </w:p>
        </w:tc>
      </w:tr>
      <w:tr w:rsidR="008858CF" w:rsidRPr="00483CCE" w:rsidTr="008038BA">
        <w:trPr>
          <w:trHeight w:val="300"/>
          <w:jc w:val="center"/>
        </w:trPr>
        <w:tc>
          <w:tcPr>
            <w:tcW w:w="1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83CC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MIESZKALNICTWO</w:t>
            </w:r>
          </w:p>
        </w:tc>
      </w:tr>
      <w:tr w:rsidR="008858CF" w:rsidRPr="00483CCE" w:rsidTr="008038BA">
        <w:trPr>
          <w:trHeight w:val="672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sz w:val="20"/>
                <w:szCs w:val="20"/>
              </w:rPr>
              <w:t>Wymiana kotłów węglowych na terenie Gminy Nieporęt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1,2,3,4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83CC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</w:tr>
      <w:tr w:rsidR="008858CF" w:rsidRPr="00483CCE" w:rsidTr="008038BA">
        <w:trPr>
          <w:trHeight w:val="672"/>
          <w:jc w:val="center"/>
        </w:trPr>
        <w:tc>
          <w:tcPr>
            <w:tcW w:w="6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pStyle w:val="Normalny2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483CCE">
              <w:rPr>
                <w:rFonts w:asciiTheme="minorHAnsi" w:hAnsiTheme="minorHAnsi" w:cstheme="minorHAnsi"/>
                <w:sz w:val="20"/>
                <w:szCs w:val="24"/>
              </w:rPr>
              <w:t>W ramach realizacji zadania przewiduje się likwidację węglowych źródeł ciepła w budynkach mieszkalnych oraz zastąpienie tych źródeł nisko emisyjnymi źródłami i/lub zero-emisyjnymi.</w:t>
            </w:r>
          </w:p>
        </w:tc>
        <w:tc>
          <w:tcPr>
            <w:tcW w:w="16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CF" w:rsidRPr="00483CCE" w:rsidRDefault="008858CF" w:rsidP="008038BA">
            <w:pPr>
              <w:contextualSpacing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  <w:sectPr w:rsidR="008858CF" w:rsidSect="00715E6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858CF" w:rsidRPr="00715E6A" w:rsidRDefault="008858CF" w:rsidP="008858CF">
      <w:pPr>
        <w:spacing w:line="360" w:lineRule="auto"/>
        <w:contextualSpacing/>
        <w:rPr>
          <w:rFonts w:cstheme="minorHAnsi"/>
          <w:b/>
          <w:sz w:val="32"/>
          <w:szCs w:val="32"/>
        </w:rPr>
      </w:pPr>
      <w:r w:rsidRPr="00715E6A">
        <w:rPr>
          <w:rFonts w:cstheme="minorHAnsi"/>
          <w:b/>
          <w:sz w:val="32"/>
          <w:szCs w:val="32"/>
        </w:rPr>
        <w:lastRenderedPageBreak/>
        <w:t>Monitoring Celu strategicznego dla Gminy Nieporęt do roku 2020</w:t>
      </w:r>
    </w:p>
    <w:p w:rsidR="008858CF" w:rsidRPr="00715E6A" w:rsidRDefault="008858CF" w:rsidP="008858CF">
      <w:pPr>
        <w:spacing w:line="360" w:lineRule="auto"/>
        <w:contextualSpacing/>
        <w:rPr>
          <w:rFonts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918"/>
        <w:gridCol w:w="1459"/>
        <w:gridCol w:w="1526"/>
      </w:tblGrid>
      <w:tr w:rsidR="008858CF" w:rsidRPr="00483CCE" w:rsidTr="008038BA">
        <w:tc>
          <w:tcPr>
            <w:tcW w:w="9288" w:type="dxa"/>
            <w:gridSpan w:val="4"/>
            <w:shd w:val="clear" w:color="auto" w:fill="FFFF00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  <w:u w:val="single"/>
              </w:rPr>
              <w:t>CEL STRATEGICZNY</w:t>
            </w:r>
            <w:r w:rsidRPr="00483CCE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858CF" w:rsidRPr="00483CCE" w:rsidTr="008038BA">
        <w:trPr>
          <w:trHeight w:val="123"/>
        </w:trPr>
        <w:tc>
          <w:tcPr>
            <w:tcW w:w="3452" w:type="dxa"/>
            <w:vMerge w:val="restart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Wyszczególnienie</w:t>
            </w:r>
          </w:p>
        </w:tc>
        <w:tc>
          <w:tcPr>
            <w:tcW w:w="2918" w:type="dxa"/>
            <w:vMerge w:val="restart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2013</w:t>
            </w:r>
          </w:p>
        </w:tc>
        <w:tc>
          <w:tcPr>
            <w:tcW w:w="2918" w:type="dxa"/>
            <w:gridSpan w:val="2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2020</w:t>
            </w:r>
          </w:p>
        </w:tc>
      </w:tr>
      <w:tr w:rsidR="008858CF" w:rsidRPr="00483CCE" w:rsidTr="008038BA">
        <w:trPr>
          <w:trHeight w:val="122"/>
        </w:trPr>
        <w:tc>
          <w:tcPr>
            <w:tcW w:w="3452" w:type="dxa"/>
            <w:vMerge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18" w:type="dxa"/>
            <w:vMerge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9" w:type="dxa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planowane</w:t>
            </w:r>
          </w:p>
        </w:tc>
        <w:tc>
          <w:tcPr>
            <w:tcW w:w="1459" w:type="dxa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zrealizowane</w:t>
            </w:r>
          </w:p>
        </w:tc>
      </w:tr>
      <w:tr w:rsidR="008858CF" w:rsidRPr="00483CCE" w:rsidTr="008038BA">
        <w:tc>
          <w:tcPr>
            <w:tcW w:w="3452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Poziom redukcji emisji CO</w:t>
            </w:r>
            <w:r w:rsidRPr="00483CCE">
              <w:rPr>
                <w:rFonts w:asciiTheme="minorHAnsi" w:hAnsiTheme="minorHAnsi" w:cstheme="minorHAnsi"/>
                <w:b/>
                <w:sz w:val="24"/>
                <w:vertAlign w:val="subscript"/>
              </w:rPr>
              <w:t>2</w:t>
            </w:r>
          </w:p>
        </w:tc>
        <w:tc>
          <w:tcPr>
            <w:tcW w:w="2918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4,41%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3,</w:t>
            </w: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483CCE">
              <w:rPr>
                <w:rFonts w:asciiTheme="minorHAnsi" w:hAnsiTheme="minorHAnsi" w:cstheme="minorHAnsi"/>
                <w:b/>
                <w:sz w:val="24"/>
              </w:rPr>
              <w:t>2%</w:t>
            </w:r>
          </w:p>
        </w:tc>
      </w:tr>
      <w:tr w:rsidR="008858CF" w:rsidRPr="00483CCE" w:rsidTr="008038BA">
        <w:tc>
          <w:tcPr>
            <w:tcW w:w="3452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Poziom udziału energii pochodzącej ze źródeł odnawialnych</w:t>
            </w:r>
          </w:p>
        </w:tc>
        <w:tc>
          <w:tcPr>
            <w:tcW w:w="2918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1,97%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4,42%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3,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483CCE">
              <w:rPr>
                <w:rFonts w:asciiTheme="minorHAnsi" w:hAnsiTheme="minorHAnsi" w:cstheme="minorHAnsi"/>
                <w:b/>
                <w:sz w:val="24"/>
              </w:rPr>
              <w:t>8%</w:t>
            </w:r>
          </w:p>
        </w:tc>
      </w:tr>
      <w:tr w:rsidR="008858CF" w:rsidRPr="00483CCE" w:rsidTr="008038BA">
        <w:tc>
          <w:tcPr>
            <w:tcW w:w="3452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Poziom redukcji zużycia energii finalnej</w:t>
            </w:r>
          </w:p>
        </w:tc>
        <w:tc>
          <w:tcPr>
            <w:tcW w:w="2918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1,85%</w:t>
            </w:r>
          </w:p>
        </w:tc>
        <w:tc>
          <w:tcPr>
            <w:tcW w:w="1459" w:type="dxa"/>
            <w:vAlign w:val="center"/>
          </w:tcPr>
          <w:p w:rsidR="008858CF" w:rsidRPr="00483CCE" w:rsidRDefault="008858CF" w:rsidP="008038BA">
            <w:pPr>
              <w:pStyle w:val="Normalny1"/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83CCE">
              <w:rPr>
                <w:rFonts w:asciiTheme="minorHAnsi" w:hAnsiTheme="minorHAnsi" w:cstheme="minorHAnsi"/>
                <w:b/>
                <w:sz w:val="24"/>
              </w:rPr>
              <w:t>1,</w:t>
            </w: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483CCE">
              <w:rPr>
                <w:rFonts w:asciiTheme="minorHAnsi" w:hAnsiTheme="minorHAnsi" w:cstheme="minorHAnsi"/>
                <w:b/>
                <w:sz w:val="24"/>
              </w:rPr>
              <w:t>6%</w:t>
            </w:r>
          </w:p>
        </w:tc>
      </w:tr>
    </w:tbl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  <w:highlight w:val="yellow"/>
        </w:rPr>
      </w:pP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W stosunku do scenariusza Business As </w:t>
      </w:r>
      <w:proofErr w:type="spellStart"/>
      <w:r w:rsidRPr="00483CCE">
        <w:rPr>
          <w:rFonts w:cstheme="minorHAnsi"/>
          <w:sz w:val="24"/>
        </w:rPr>
        <w:t>Usual</w:t>
      </w:r>
      <w:proofErr w:type="spellEnd"/>
      <w:r w:rsidRPr="00483CCE">
        <w:rPr>
          <w:rFonts w:cstheme="minorHAnsi"/>
          <w:sz w:val="24"/>
        </w:rPr>
        <w:t xml:space="preserve">, realizacja </w:t>
      </w:r>
      <w:r>
        <w:rPr>
          <w:rFonts w:cstheme="minorHAnsi"/>
          <w:sz w:val="24"/>
        </w:rPr>
        <w:t xml:space="preserve">wszystkich działań wskazanych w </w:t>
      </w:r>
      <w:r w:rsidRPr="00483CCE">
        <w:rPr>
          <w:rFonts w:cstheme="minorHAnsi"/>
          <w:sz w:val="24"/>
        </w:rPr>
        <w:t>PGN</w:t>
      </w:r>
      <w:r>
        <w:rPr>
          <w:rFonts w:cstheme="minorHAnsi"/>
          <w:sz w:val="24"/>
        </w:rPr>
        <w:t>-</w:t>
      </w:r>
      <w:proofErr w:type="spellStart"/>
      <w:r>
        <w:rPr>
          <w:rFonts w:cstheme="minorHAnsi"/>
          <w:sz w:val="24"/>
        </w:rPr>
        <w:t>ie</w:t>
      </w:r>
      <w:proofErr w:type="spellEnd"/>
      <w:r w:rsidRPr="00483CCE">
        <w:rPr>
          <w:rFonts w:cstheme="minorHAnsi"/>
          <w:sz w:val="24"/>
        </w:rPr>
        <w:t xml:space="preserve"> w pełnym zakresie, </w:t>
      </w:r>
      <w:r>
        <w:rPr>
          <w:rFonts w:cstheme="minorHAnsi"/>
          <w:sz w:val="24"/>
        </w:rPr>
        <w:t>miała przynieść</w:t>
      </w:r>
      <w:r w:rsidRPr="00483CCE">
        <w:rPr>
          <w:rFonts w:cstheme="minorHAnsi"/>
          <w:sz w:val="24"/>
        </w:rPr>
        <w:t xml:space="preserve"> następujące rezultaty:</w:t>
      </w:r>
    </w:p>
    <w:p w:rsidR="008858CF" w:rsidRPr="00483CCE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4,41% (2 781,95 MgCO</w:t>
      </w:r>
      <w:r w:rsidRPr="00483CCE">
        <w:rPr>
          <w:rFonts w:cstheme="minorHAnsi"/>
          <w:sz w:val="24"/>
          <w:vertAlign w:val="subscript"/>
        </w:rPr>
        <w:t>2</w:t>
      </w:r>
      <w:r w:rsidRPr="00483CCE">
        <w:rPr>
          <w:rFonts w:cstheme="minorHAnsi"/>
          <w:sz w:val="24"/>
        </w:rPr>
        <w:t xml:space="preserve">) redukcji emisji gazów cieplarnianych do roku 2020 względem scenariusza Business As </w:t>
      </w:r>
      <w:proofErr w:type="spellStart"/>
      <w:r w:rsidRPr="00483CCE">
        <w:rPr>
          <w:rFonts w:cstheme="minorHAnsi"/>
          <w:sz w:val="24"/>
        </w:rPr>
        <w:t>Usual</w:t>
      </w:r>
      <w:proofErr w:type="spellEnd"/>
      <w:r w:rsidRPr="00483CCE">
        <w:rPr>
          <w:rFonts w:cstheme="minorHAnsi"/>
          <w:sz w:val="24"/>
        </w:rPr>
        <w:t xml:space="preserve">, </w:t>
      </w:r>
    </w:p>
    <w:p w:rsidR="008858CF" w:rsidRPr="00483CCE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Pr="00483CCE">
        <w:rPr>
          <w:rFonts w:cstheme="minorHAnsi"/>
          <w:sz w:val="24"/>
        </w:rPr>
        <w:t xml:space="preserve">o 4,42 % (9 380,66 MWh) zwiększenia udziału energii ze źródeł odnawialnych do roku 2020 w ilości wykorzystywanej energii elektrycznej ogółem, </w:t>
      </w:r>
    </w:p>
    <w:p w:rsidR="008858CF" w:rsidRPr="00483CCE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1,85 % (3 926,29 MWh) redukcji zużycia energii finalnej do roku 2020. 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9C55B7">
        <w:rPr>
          <w:rFonts w:cstheme="minorHAnsi"/>
          <w:sz w:val="24"/>
        </w:rPr>
        <w:t>Przyniosła :</w:t>
      </w:r>
    </w:p>
    <w:p w:rsidR="008858CF" w:rsidRPr="00483CCE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3,22</w:t>
      </w:r>
      <w:r w:rsidRPr="00483CCE">
        <w:rPr>
          <w:rFonts w:cstheme="minorHAnsi"/>
          <w:sz w:val="24"/>
        </w:rPr>
        <w:t>% (</w:t>
      </w:r>
      <w:r>
        <w:rPr>
          <w:rFonts w:cstheme="minorHAnsi"/>
          <w:sz w:val="24"/>
        </w:rPr>
        <w:t>2031,27</w:t>
      </w:r>
      <w:r w:rsidRPr="00483CCE">
        <w:rPr>
          <w:rFonts w:cstheme="minorHAnsi"/>
          <w:sz w:val="24"/>
        </w:rPr>
        <w:t xml:space="preserve"> MgCO</w:t>
      </w:r>
      <w:r w:rsidRPr="00483CCE">
        <w:rPr>
          <w:rFonts w:cstheme="minorHAnsi"/>
          <w:sz w:val="24"/>
          <w:vertAlign w:val="subscript"/>
        </w:rPr>
        <w:t>2</w:t>
      </w:r>
      <w:r w:rsidRPr="00483CCE">
        <w:rPr>
          <w:rFonts w:cstheme="minorHAnsi"/>
          <w:sz w:val="24"/>
        </w:rPr>
        <w:t xml:space="preserve">) redukcji emisji gazów cieplarnianych do roku 2020 względem scenariusza Business As </w:t>
      </w:r>
      <w:proofErr w:type="spellStart"/>
      <w:r w:rsidRPr="00483CCE">
        <w:rPr>
          <w:rFonts w:cstheme="minorHAnsi"/>
          <w:sz w:val="24"/>
        </w:rPr>
        <w:t>Usual</w:t>
      </w:r>
      <w:proofErr w:type="spellEnd"/>
      <w:r w:rsidRPr="00483CCE">
        <w:rPr>
          <w:rFonts w:cstheme="minorHAnsi"/>
          <w:sz w:val="24"/>
        </w:rPr>
        <w:t xml:space="preserve">, </w:t>
      </w:r>
    </w:p>
    <w:p w:rsidR="008858CF" w:rsidRPr="00483CCE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do 3,48</w:t>
      </w:r>
      <w:r w:rsidRPr="00483CCE">
        <w:rPr>
          <w:rFonts w:cstheme="minorHAnsi"/>
          <w:sz w:val="24"/>
        </w:rPr>
        <w:t xml:space="preserve"> % (</w:t>
      </w:r>
      <w:r>
        <w:rPr>
          <w:rFonts w:cstheme="minorHAnsi"/>
          <w:sz w:val="24"/>
        </w:rPr>
        <w:t>7385,68</w:t>
      </w:r>
      <w:r w:rsidRPr="00483CCE">
        <w:rPr>
          <w:rFonts w:cstheme="minorHAnsi"/>
          <w:sz w:val="24"/>
        </w:rPr>
        <w:t xml:space="preserve"> MWh) zwiększenia udziału energii ze źródeł odnawialnych do roku 2020 w ilości wykorzystywanej energii elektrycznej ogółem, </w:t>
      </w:r>
    </w:p>
    <w:p w:rsidR="008858CF" w:rsidRPr="008858CF" w:rsidRDefault="008858CF" w:rsidP="008858CF">
      <w:pPr>
        <w:numPr>
          <w:ilvl w:val="0"/>
          <w:numId w:val="2"/>
        </w:numPr>
        <w:spacing w:line="360" w:lineRule="auto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1,66</w:t>
      </w:r>
      <w:r w:rsidRPr="00483CCE">
        <w:rPr>
          <w:rFonts w:cstheme="minorHAnsi"/>
          <w:sz w:val="24"/>
        </w:rPr>
        <w:t xml:space="preserve"> % (</w:t>
      </w:r>
      <w:r>
        <w:rPr>
          <w:rFonts w:cstheme="minorHAnsi"/>
          <w:sz w:val="24"/>
        </w:rPr>
        <w:t>3523,05</w:t>
      </w:r>
      <w:r w:rsidRPr="00483CCE">
        <w:rPr>
          <w:rFonts w:cstheme="minorHAnsi"/>
          <w:sz w:val="24"/>
        </w:rPr>
        <w:t xml:space="preserve"> MWh) redukcji zużycia energii finalnej do roku 2020. </w:t>
      </w:r>
    </w:p>
    <w:p w:rsidR="008858CF" w:rsidRDefault="008858CF" w:rsidP="008858CF">
      <w:pPr>
        <w:spacing w:line="360" w:lineRule="auto"/>
        <w:contextualSpacing/>
        <w:rPr>
          <w:rFonts w:cstheme="minorHAnsi"/>
          <w:b/>
          <w:sz w:val="32"/>
          <w:szCs w:val="32"/>
        </w:rPr>
      </w:pPr>
    </w:p>
    <w:p w:rsidR="008858CF" w:rsidRPr="00715E6A" w:rsidRDefault="008858CF" w:rsidP="008858CF">
      <w:pPr>
        <w:spacing w:line="360" w:lineRule="auto"/>
        <w:contextualSpacing/>
        <w:rPr>
          <w:rFonts w:cstheme="minorHAnsi"/>
          <w:b/>
          <w:sz w:val="32"/>
          <w:szCs w:val="32"/>
        </w:rPr>
      </w:pPr>
      <w:r w:rsidRPr="00715E6A">
        <w:rPr>
          <w:rFonts w:cstheme="minorHAnsi"/>
          <w:b/>
          <w:sz w:val="32"/>
          <w:szCs w:val="32"/>
        </w:rPr>
        <w:t>PODSUMOWANIE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Analiza zebranych danych pod kątem realizacji PGN wskazuje, że Gmina Nieporęt podjęła realizację działań zmierzających do osiągnięcia założonych w dokumencie celów. 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 xml:space="preserve">Szczególnie podejmowane są działania w zakresie termomodernizacji budynków użyteczności publicznej, budowie ścieżek rowerowych oraz projektów „parasolowych.” </w:t>
      </w:r>
    </w:p>
    <w:p w:rsidR="008858CF" w:rsidRDefault="008858CF" w:rsidP="008858CF">
      <w:pPr>
        <w:spacing w:line="360" w:lineRule="auto"/>
        <w:contextualSpacing/>
        <w:rPr>
          <w:rFonts w:cstheme="minorHAnsi"/>
          <w:sz w:val="24"/>
        </w:rPr>
      </w:pPr>
      <w:r w:rsidRPr="00483CCE">
        <w:rPr>
          <w:rFonts w:cstheme="minorHAnsi"/>
          <w:sz w:val="24"/>
        </w:rPr>
        <w:t>Problemem jednak wciąż pozostaje zaangażowanie osób zamieszkujących Gminę Nieporęt oraz lokalnych przedsiębiorców by stali się aktywnymi uczestnikami tych działań. Nacisk należy kłaść na kompleksowe podejście do zagadnień kryzysowych.</w:t>
      </w:r>
    </w:p>
    <w:p w:rsidR="008858CF" w:rsidRPr="009C55B7" w:rsidRDefault="008858CF" w:rsidP="008858CF">
      <w:pPr>
        <w:spacing w:line="360" w:lineRule="auto"/>
        <w:contextualSpacing/>
        <w:rPr>
          <w:rStyle w:val="Pogrubienie"/>
          <w:rFonts w:cstheme="minorHAnsi"/>
          <w:b w:val="0"/>
          <w:bCs w:val="0"/>
          <w:sz w:val="24"/>
        </w:rPr>
      </w:pPr>
      <w:r>
        <w:rPr>
          <w:rFonts w:cstheme="minorHAnsi"/>
          <w:sz w:val="24"/>
        </w:rPr>
        <w:t xml:space="preserve">Część celów założonych w Planie nie zostało osiągniętych z uwagi na brak wystarczających środków finansowych.  </w:t>
      </w:r>
      <w:r w:rsidRPr="00483CCE">
        <w:rPr>
          <w:rFonts w:cstheme="minorHAnsi"/>
          <w:sz w:val="24"/>
        </w:rPr>
        <w:t xml:space="preserve">Realizacja części działań inwestycyjnych tj. technicznych, przestrzenno-funkcjonalnych </w:t>
      </w:r>
      <w:r w:rsidRPr="00483CCE">
        <w:rPr>
          <w:rFonts w:cstheme="minorHAnsi"/>
          <w:sz w:val="24"/>
        </w:rPr>
        <w:lastRenderedPageBreak/>
        <w:t xml:space="preserve">oraz środowiskowych jest uzależniona od możliwości pozyskania środków zewnętrznych. Teoretycznie dostępne są środki na realizację przedsięwzięć. Niestety konkursy mają ograniczoną  </w:t>
      </w:r>
      <w:r w:rsidRPr="00483CCE">
        <w:rPr>
          <w:rStyle w:val="Pogrubienie"/>
          <w:rFonts w:cstheme="minorHAnsi"/>
          <w:sz w:val="24"/>
        </w:rPr>
        <w:t>pulę środków przeznaczonych na dofinansowanie projektów.</w:t>
      </w:r>
      <w:r>
        <w:rPr>
          <w:rStyle w:val="Pogrubienie"/>
          <w:rFonts w:cstheme="minorHAnsi"/>
          <w:sz w:val="24"/>
        </w:rPr>
        <w:t xml:space="preserve"> </w:t>
      </w:r>
    </w:p>
    <w:p w:rsidR="008858CF" w:rsidRPr="009C55B7" w:rsidRDefault="008858CF" w:rsidP="008858CF">
      <w:pPr>
        <w:spacing w:line="360" w:lineRule="auto"/>
        <w:contextualSpacing/>
        <w:rPr>
          <w:rStyle w:val="Pogrubienie"/>
          <w:rFonts w:cstheme="minorHAnsi"/>
          <w:b w:val="0"/>
          <w:sz w:val="24"/>
        </w:rPr>
      </w:pPr>
      <w:r w:rsidRPr="009C55B7">
        <w:rPr>
          <w:rStyle w:val="Pogrubienie"/>
          <w:rFonts w:cstheme="minorHAnsi"/>
          <w:sz w:val="24"/>
        </w:rPr>
        <w:t xml:space="preserve">W dłuższej perspektywie niezbędne jest </w:t>
      </w:r>
      <w:r>
        <w:rPr>
          <w:rStyle w:val="Pogrubienie"/>
          <w:rFonts w:cstheme="minorHAnsi"/>
          <w:sz w:val="24"/>
        </w:rPr>
        <w:t xml:space="preserve">zatem </w:t>
      </w:r>
      <w:r w:rsidRPr="009C55B7">
        <w:rPr>
          <w:rStyle w:val="Pogrubienie"/>
          <w:rFonts w:cstheme="minorHAnsi"/>
          <w:sz w:val="24"/>
        </w:rPr>
        <w:t>poszukiwanie innych mod</w:t>
      </w:r>
      <w:r>
        <w:rPr>
          <w:rStyle w:val="Pogrubienie"/>
          <w:rFonts w:cstheme="minorHAnsi"/>
          <w:sz w:val="24"/>
        </w:rPr>
        <w:t xml:space="preserve">eli finansowania inwestycji </w:t>
      </w:r>
      <w:proofErr w:type="spellStart"/>
      <w:r>
        <w:rPr>
          <w:rStyle w:val="Pogrubienie"/>
          <w:rFonts w:cstheme="minorHAnsi"/>
          <w:sz w:val="24"/>
        </w:rPr>
        <w:t>pro</w:t>
      </w:r>
      <w:r w:rsidRPr="009C55B7">
        <w:rPr>
          <w:rStyle w:val="Pogrubienie"/>
          <w:rFonts w:cstheme="minorHAnsi"/>
          <w:sz w:val="24"/>
        </w:rPr>
        <w:t>środowiskowych</w:t>
      </w:r>
      <w:proofErr w:type="spellEnd"/>
      <w:r w:rsidRPr="009C55B7">
        <w:rPr>
          <w:rStyle w:val="Pogrubienie"/>
          <w:rFonts w:cstheme="minorHAnsi"/>
          <w:sz w:val="24"/>
        </w:rPr>
        <w:t>.</w:t>
      </w:r>
    </w:p>
    <w:p w:rsidR="008858CF" w:rsidRPr="00483CCE" w:rsidRDefault="008858CF" w:rsidP="008858CF">
      <w:pPr>
        <w:spacing w:line="360" w:lineRule="auto"/>
        <w:contextualSpacing/>
        <w:rPr>
          <w:rFonts w:cstheme="minorHAnsi"/>
          <w:sz w:val="24"/>
        </w:rPr>
      </w:pPr>
    </w:p>
    <w:p w:rsidR="00BB5AFD" w:rsidRDefault="00BB5AFD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8858CF" w:rsidRDefault="008858CF">
      <w:pPr>
        <w:pStyle w:val="Normal0"/>
      </w:pPr>
    </w:p>
    <w:p w:rsidR="00BB5AFD" w:rsidRDefault="002B7247">
      <w:pPr>
        <w:pStyle w:val="Normal0"/>
        <w:jc w:val="center"/>
      </w:pPr>
      <w:r>
        <w:rPr>
          <w:b/>
        </w:rPr>
        <w:t>Uzasadnienie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do projektu uchwały w sprawie przyjęcia „Aktualizacji Planu gospodarki niskoemisyjnej dla Gminy Nieporęt do 2023 roku i raportu z ewaluacji działań podjętych do 2020 roku"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1</w:t>
      </w:r>
      <w:r>
        <w:rPr>
          <w:color w:val="000000"/>
          <w:u w:color="000000"/>
        </w:rPr>
        <w:t> ustawy z dnia 8 marca 1990 r. o samorządzie gminnym (Dz. U. z 2020 r. poz. 713), do właściwości rady gminy należą wszystkie sprawy pozostające w zakresie działania gminy, o ile ustawy nie stanowią inaczej.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7 ust. 1 pkt 1 ustawy z dnia </w:t>
      </w:r>
      <w:r>
        <w:rPr>
          <w:color w:val="000000"/>
          <w:u w:color="000000"/>
        </w:rPr>
        <w:t>8 marca 1990 r. o samorządzie gminnym (Dz. U. z 2020 r. poz. 713) zaspokajanie zbiorowy potrzeb wspólnoty należy do zadań własnych gminy. W szczególności zadania własne obejmują sprawy: ładu przestrzennego, gospodarki nieruchomościami, ochrony środowiska i</w:t>
      </w:r>
      <w:r>
        <w:rPr>
          <w:color w:val="000000"/>
          <w:u w:color="000000"/>
        </w:rPr>
        <w:t> przyrody oraz gospodarki wodnej.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PLAN GOSPODARKI NISKOEMISYJNEJ (PGN) DLA GMINY NIEPORĘT DO 2020 ROKU jest dokumentem o charakterze strategicznym, który koncentruje się na podniesieniu efektywności energetycznej, zwiększeniu wykorzystania odnawialnych źró</w:t>
      </w:r>
      <w:r>
        <w:rPr>
          <w:color w:val="000000"/>
          <w:u w:color="000000"/>
        </w:rPr>
        <w:t>deł energii oraz redukcji gazów cieplarnianych z obszaru Gminy Nieporęt.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Celem PGN jest stworzenie strategicznych kierunków, których podjęcie jest niezbędne dla poprawy stanu powietrza atmosferycznego na terenie Gminy Nieporęt oraz wypracowanie mechanizmów</w:t>
      </w:r>
      <w:r>
        <w:rPr>
          <w:color w:val="000000"/>
          <w:u w:color="000000"/>
        </w:rPr>
        <w:t xml:space="preserve"> do uzyskania korzyści ekonomicznych, społecznych i środowiskowych z działań służących zmniejszaniu niskiej emisji na terenie Gminy.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Gmina Nieporęt przyjęła do realizacji Plan Gospodarki Niskoemisyjnej uchwałą nr XXI/11/2016 Rady Gminy Nieporęt z dnia 29.0</w:t>
      </w:r>
      <w:r>
        <w:rPr>
          <w:color w:val="000000"/>
          <w:u w:color="000000"/>
        </w:rPr>
        <w:t>2.2016 r. Dokument przeszedł pozytywną weryfikację przez Narodowy Fundusz Ochrony Środowiska i Gospodarki Wodnej. Plan Gospodarki Niskoemisyjnej powinien być dokumentem użytecznym dla Gminy, a więc w razie potrzeby powinien być aktualizowany. Realizacja ok</w:t>
      </w:r>
      <w:r>
        <w:rPr>
          <w:color w:val="000000"/>
          <w:u w:color="000000"/>
        </w:rPr>
        <w:t>reślonych w ramach Planu Gospodarki Niskoemisyjnej dla Gminy Nieporęt na lata 2016-2020 celów i zadań powinna podlegać zatem systematycznemu monitorowaniu oraz ewaluacji.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przeprowadzoną ewaluacją zadań postanowiono o wydłużeniu okresu </w:t>
      </w:r>
      <w:r>
        <w:rPr>
          <w:color w:val="000000"/>
          <w:u w:color="000000"/>
        </w:rPr>
        <w:t>obowiązywania planu do 2023 roku, czyli do zakończeniem aktualnej perspektywy finansowej Unii Europejskiej. W związku z wydłużeniem okresu obowiązywania planu wprowadzono do niego nowe zadania inwestycyjne i </w:t>
      </w:r>
      <w:proofErr w:type="spellStart"/>
      <w:r>
        <w:rPr>
          <w:color w:val="000000"/>
          <w:u w:color="000000"/>
        </w:rPr>
        <w:t>nieinwestycyjne</w:t>
      </w:r>
      <w:proofErr w:type="spellEnd"/>
      <w:r>
        <w:rPr>
          <w:color w:val="000000"/>
          <w:u w:color="000000"/>
        </w:rPr>
        <w:t>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Gmina planuje złoż</w:t>
      </w:r>
      <w:r>
        <w:rPr>
          <w:color w:val="000000"/>
          <w:u w:color="000000"/>
        </w:rPr>
        <w:t>enie wniosku o dofinansowanie zadania na termomodernizację Szkoły Podstawowej w Stanisławowie Pierwszym w ramach ogłoszonego naboru wniosków przez Mazowiecką Jednostkę Wdrażania Programów Unijnych na termomodernizację obiektów użyteczności publicznej. W ty</w:t>
      </w:r>
      <w:r>
        <w:rPr>
          <w:color w:val="000000"/>
          <w:u w:color="000000"/>
        </w:rPr>
        <w:t>m celu konieczne jest wpisanie niniejszego zadania do Planu Gospodarki Niskoemisyjnej i wydłużenie okresu obowiązywania planu.</w:t>
      </w:r>
    </w:p>
    <w:p w:rsidR="00BB5AFD" w:rsidRDefault="002B7247">
      <w:pPr>
        <w:pStyle w:val="Normal0"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Możliwości realizacji działań ujętych w planie, uzależniona jest od pozyskania zewnętrznych funduszy w obecnej perspektywie unijn</w:t>
      </w:r>
      <w:r>
        <w:rPr>
          <w:color w:val="000000"/>
          <w:u w:color="000000"/>
        </w:rPr>
        <w:t>ej, a opracowany Plan stanowi niezbędny dokument umożliwiający ubieganie się Gminy, jak i jej mieszkańców o środki pomocowe na zadania z zakresu termomodernizacji budynków u</w:t>
      </w:r>
      <w:r>
        <w:rPr>
          <w:color w:val="000000"/>
          <w:u w:color="000000"/>
          <w:lang w:bidi="pl-PL"/>
        </w:rPr>
        <w:t>ż</w:t>
      </w:r>
      <w:r>
        <w:rPr>
          <w:color w:val="000000"/>
          <w:u w:color="000000"/>
        </w:rPr>
        <w:t>yteczności publicznej i mieszkalnej, modernizację źródeł ciepła, instalację OZE i </w:t>
      </w:r>
      <w:r>
        <w:rPr>
          <w:color w:val="000000"/>
          <w:u w:color="000000"/>
        </w:rPr>
        <w:t>inne.</w:t>
      </w:r>
    </w:p>
    <w:p w:rsidR="00BB5AFD" w:rsidRDefault="002B7247">
      <w:pPr>
        <w:pStyle w:val="Normal0"/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Nieporęt,  dnia 12.10.2020 r.</w:t>
      </w:r>
    </w:p>
    <w:p w:rsidR="00BB5AFD" w:rsidRDefault="002B7247">
      <w:pPr>
        <w:pStyle w:val="Normal0"/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Sporządził: Piotr </w:t>
      </w:r>
      <w:proofErr w:type="spellStart"/>
      <w:r>
        <w:rPr>
          <w:color w:val="000000"/>
          <w:u w:color="000000"/>
        </w:rPr>
        <w:t>Brysiacz</w:t>
      </w:r>
      <w:proofErr w:type="spellEnd"/>
    </w:p>
    <w:sectPr w:rsidR="00BB5AFD">
      <w:footerReference w:type="default" r:id="rId11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47" w:rsidRDefault="002B7247">
      <w:r>
        <w:separator/>
      </w:r>
    </w:p>
  </w:endnote>
  <w:endnote w:type="continuationSeparator" w:id="0">
    <w:p w:rsidR="002B7247" w:rsidRDefault="002B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5A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5AFD" w:rsidRDefault="002B72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5AFD" w:rsidRDefault="00BB5AFD">
          <w:pPr>
            <w:jc w:val="left"/>
            <w:rPr>
              <w:sz w:val="18"/>
            </w:rPr>
          </w:pPr>
        </w:p>
      </w:tc>
    </w:tr>
  </w:tbl>
  <w:p w:rsidR="00BB5AFD" w:rsidRDefault="00BB5AF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3280"/>
      <w:docPartObj>
        <w:docPartGallery w:val="Page Numbers (Bottom of Page)"/>
        <w:docPartUnique/>
      </w:docPartObj>
    </w:sdtPr>
    <w:sdtContent>
      <w:p w:rsidR="008858CF" w:rsidRDefault="008858CF" w:rsidP="00483CCE">
        <w:pPr>
          <w:pStyle w:val="Stopka"/>
          <w:pBdr>
            <w:top w:val="double" w:sz="4" w:space="1" w:color="365F91" w:themeColor="accent1" w:themeShade="BF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58CF" w:rsidRDefault="00885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B5AF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5AFD" w:rsidRDefault="002B72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B5AFD" w:rsidRDefault="00BB5AFD">
          <w:pPr>
            <w:jc w:val="left"/>
            <w:rPr>
              <w:sz w:val="18"/>
            </w:rPr>
          </w:pPr>
        </w:p>
      </w:tc>
    </w:tr>
  </w:tbl>
  <w:p w:rsidR="00BB5AFD" w:rsidRDefault="00BB5A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47" w:rsidRDefault="002B7247">
      <w:r>
        <w:separator/>
      </w:r>
    </w:p>
  </w:footnote>
  <w:footnote w:type="continuationSeparator" w:id="0">
    <w:p w:rsidR="002B7247" w:rsidRDefault="002B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CF" w:rsidRDefault="008858CF" w:rsidP="00483CCE">
    <w:pPr>
      <w:pStyle w:val="Nagwek"/>
      <w:pBdr>
        <w:bottom w:val="thinThickSmallGap" w:sz="24" w:space="1" w:color="632423" w:themeColor="accent2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BF6"/>
    <w:multiLevelType w:val="multilevel"/>
    <w:tmpl w:val="130C1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0067"/>
    <w:multiLevelType w:val="multilevel"/>
    <w:tmpl w:val="81DE8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527F5"/>
    <w:multiLevelType w:val="hybridMultilevel"/>
    <w:tmpl w:val="2820A01E"/>
    <w:lvl w:ilvl="0" w:tplc="B8DC3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7445"/>
    <w:multiLevelType w:val="hybridMultilevel"/>
    <w:tmpl w:val="B92E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D"/>
    <w:rsid w:val="002B7247"/>
    <w:rsid w:val="008858CF"/>
    <w:rsid w:val="009B2911"/>
    <w:rsid w:val="00B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4A8D"/>
  <w15:docId w15:val="{34D7915C-B626-4D1D-B30F-5C4DCDB8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8858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8C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58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8C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58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858CF"/>
    <w:rPr>
      <w:b/>
      <w:bCs/>
    </w:rPr>
  </w:style>
  <w:style w:type="paragraph" w:customStyle="1" w:styleId="Normalny1">
    <w:name w:val="Normalny1"/>
    <w:rsid w:val="008858C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ny2">
    <w:name w:val="Normalny2"/>
    <w:rsid w:val="008858C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858C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3366</Words>
  <Characters>20201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„Aktualizacji do 2023^roku Planu gospodarki niskoemisyjnej dla Gminy Nieporęt na lata 2016-2020 wraz z^raportem z^ewaluacji działań podjętych do 2020^roku"</dc:subject>
  <dc:creator>w.dzwonek</dc:creator>
  <cp:lastModifiedBy>Wiktoria Dzwonek</cp:lastModifiedBy>
  <cp:revision>3</cp:revision>
  <dcterms:created xsi:type="dcterms:W3CDTF">2020-10-13T12:37:00Z</dcterms:created>
  <dcterms:modified xsi:type="dcterms:W3CDTF">2020-10-13T12:38:00Z</dcterms:modified>
  <cp:category>Akt prawny</cp:category>
</cp:coreProperties>
</file>