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071D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071D1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071D1">
      <w:pPr>
        <w:keepNext/>
        <w:spacing w:after="480"/>
        <w:jc w:val="center"/>
      </w:pPr>
      <w:r>
        <w:rPr>
          <w:b/>
        </w:rPr>
        <w:t>w sprawie stawek podatku od nieruchomości</w:t>
      </w:r>
    </w:p>
    <w:p w:rsidR="00A77B3E" w:rsidRDefault="00B071D1">
      <w:pPr>
        <w:keepLines/>
        <w:spacing w:before="120" w:after="120"/>
        <w:ind w:firstLine="227"/>
      </w:pPr>
      <w:r>
        <w:t>Na podstawie art.18 ust. 2 pkt 8, art. 40 ust.1, art. 41 ust.1 ustawy z dnia 8 marca 1990 r. o samorządzie gminnym (Dz. U. z </w:t>
      </w:r>
      <w:r>
        <w:t>2020 r. poz. 713, 1378) w związku z art.5 ust.1 i 4, art.20 b, art.20c ustawy z dnia 12 stycznia 1991 r. o podatkach i opłatach lokalnych (Dz.U. z 2019 r.  poz.1170) oraz rozporządzeniem Komisji (UE) Nr 1407/2013 z dnia 18 grudnia 2013 r. w sprawie stosowa</w:t>
      </w:r>
      <w:r>
        <w:t xml:space="preserve">nia art.107 i 108 Traktatu o funkcjonowaniu Unii Europejskiej do pomocy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Dz.Urz.UE</w:t>
      </w:r>
      <w:proofErr w:type="spellEnd"/>
      <w:r>
        <w:t xml:space="preserve"> L 352 z 24.12.2013, L 215 z 7.7.2020 r.) oraz w związku z pkt 1 i 2 Obwieszczenia Ministra Finansów z dnia 23 lipca 2020 r. w sprawie górnych granic stawek kwotow</w:t>
      </w:r>
      <w:r>
        <w:t>ych podatków i opłat lokalnych na rok 2021 (M. P. poz. 673) Rada Gminy Nieporęt, uchwala co następuje:</w:t>
      </w:r>
    </w:p>
    <w:p w:rsidR="00A77B3E" w:rsidRDefault="00B071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następujące stawki podatku od nieruchomości obowiązujące na terenie Gminy Nieporęt:</w:t>
      </w:r>
    </w:p>
    <w:p w:rsidR="00A77B3E" w:rsidRDefault="00B071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gruntów: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związanych z prowadzeniem dział</w:t>
      </w:r>
      <w:r>
        <w:rPr>
          <w:color w:val="000000"/>
          <w:u w:color="000000"/>
        </w:rPr>
        <w:t xml:space="preserve">alności gospodarczej, bez względu na sposób zakwalifikowania w ewidencji gruntów i budynków – </w:t>
      </w:r>
      <w:r>
        <w:rPr>
          <w:b/>
          <w:color w:val="000000"/>
          <w:u w:color="000000"/>
        </w:rPr>
        <w:t>0,90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 w:rsidR="00CF7B03"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powierzchni,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– </w:t>
      </w:r>
      <w:r>
        <w:rPr>
          <w:b/>
          <w:color w:val="000000"/>
          <w:u w:color="000000"/>
        </w:rPr>
        <w:t>4,87</w:t>
      </w:r>
      <w:r>
        <w:rPr>
          <w:color w:val="000000"/>
          <w:u w:color="000000"/>
        </w:rPr>
        <w:t xml:space="preserve"> zł od 1 ha </w:t>
      </w:r>
      <w:r>
        <w:rPr>
          <w:color w:val="000000"/>
          <w:u w:color="000000"/>
        </w:rPr>
        <w:t>powierzchni,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>0,37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w ustawi</w:t>
      </w:r>
      <w:r>
        <w:rPr>
          <w:color w:val="000000"/>
          <w:u w:color="000000"/>
        </w:rPr>
        <w:t>e z dnia 9 października 2015 r. o rewitalizacji (Dz. U. z 2020 r. poz. 802, 1086), i położonych na terenach, dla których miejscowy plan zagospodarowania przestrzennego przewiduje przeznaczenie pod zabudowę mieszkaniową, usługową albo zabudowę o przeznaczen</w:t>
      </w:r>
      <w:r>
        <w:rPr>
          <w:color w:val="000000"/>
          <w:u w:color="000000"/>
        </w:rPr>
        <w:t xml:space="preserve">iu mieszanym obejmującym wyłącznie te rodzaje zabudowy, jeżeli od dnia wejścia w życie tego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>3,20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 w:rsidR="00CF7B03"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powierzchni;</w:t>
      </w:r>
    </w:p>
    <w:p w:rsidR="00A77B3E" w:rsidRDefault="00B071D1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>
        <w:t>) </w:t>
      </w:r>
      <w:r>
        <w:rPr>
          <w:color w:val="000000"/>
          <w:u w:color="000000"/>
        </w:rPr>
        <w:t>od budynków lub ich części: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>0,75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>
        <w:rPr>
          <w:b/>
          <w:color w:val="000000"/>
          <w:u w:color="000000"/>
        </w:rPr>
        <w:t>22,50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 w:rsidR="00CF7B03"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 xml:space="preserve">powierzchni użytkowej, z wyjątkiem budynków lub ich części zajętych na prowadzenie działalności gospodarczej, w zakresie żłobków i klubów dziecięcych nie objętych zwolnieniem ustawowym, dla których określa się stawkę podatku w wysokości – </w:t>
      </w:r>
      <w:r>
        <w:rPr>
          <w:b/>
          <w:color w:val="000000"/>
          <w:u w:color="000000"/>
        </w:rPr>
        <w:t>11,25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>10,80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</w:t>
      </w:r>
      <w:r>
        <w:rPr>
          <w:color w:val="000000"/>
          <w:u w:color="000000"/>
        </w:rPr>
        <w:t xml:space="preserve">i leczniczej, zajętych przez podmioty udzielające tych świadczeń – </w:t>
      </w:r>
      <w:r>
        <w:rPr>
          <w:b/>
          <w:color w:val="000000"/>
          <w:u w:color="000000"/>
        </w:rPr>
        <w:t>5,06</w:t>
      </w:r>
      <w:r>
        <w:rPr>
          <w:color w:val="000000"/>
          <w:u w:color="000000"/>
        </w:rPr>
        <w:t xml:space="preserve"> 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071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>7,60</w:t>
      </w:r>
      <w:r>
        <w:rPr>
          <w:color w:val="000000"/>
          <w:u w:color="000000"/>
        </w:rPr>
        <w:t xml:space="preserve"> zł od</w:t>
      </w:r>
      <w:r>
        <w:rPr>
          <w:color w:val="000000"/>
          <w:u w:color="000000"/>
        </w:rPr>
        <w:t xml:space="preserve"> 1 m</w:t>
      </w:r>
      <w:r>
        <w:rPr>
          <w:color w:val="000000"/>
          <w:u w:color="000000"/>
          <w:vertAlign w:val="superscript"/>
        </w:rPr>
        <w:t>2</w:t>
      </w:r>
      <w:r w:rsidR="00CF7B03"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 xml:space="preserve">powierzchni użytkowej, z wyjątkiem budynków gospodarczych, nie objętych zwolnieniem ustawowym, w postaci szklarni i stodół nie zajętych na prowadzenie działalności gospodarczej, dla których określa się stawkę podatku w wysokości – </w:t>
      </w:r>
      <w:r>
        <w:rPr>
          <w:b/>
          <w:color w:val="000000"/>
          <w:u w:color="000000"/>
        </w:rPr>
        <w:t>0,55</w:t>
      </w:r>
      <w:r>
        <w:rPr>
          <w:color w:val="000000"/>
          <w:u w:color="000000"/>
        </w:rPr>
        <w:t xml:space="preserve"> zł od 1m</w:t>
      </w:r>
      <w:r>
        <w:rPr>
          <w:color w:val="000000"/>
          <w:u w:color="000000"/>
          <w:vertAlign w:val="superscript"/>
        </w:rPr>
        <w:t>2</w:t>
      </w:r>
      <w:r w:rsidR="00CF7B03">
        <w:rPr>
          <w:color w:val="000000"/>
          <w:u w:color="000000"/>
          <w:vertAlign w:val="superscript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powierzchni użytkowej;</w:t>
      </w:r>
    </w:p>
    <w:p w:rsidR="00A77B3E" w:rsidRDefault="00B071D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>2%</w:t>
      </w:r>
      <w:r>
        <w:rPr>
          <w:color w:val="000000"/>
          <w:u w:color="000000"/>
        </w:rPr>
        <w:t xml:space="preserve"> ich wartości określonej na podstawie art. 4 ust. 1 pkt 3 i ust. 3-7 ustawy </w:t>
      </w:r>
      <w:r>
        <w:rPr>
          <w:color w:val="000000"/>
          <w:u w:color="000000"/>
        </w:rPr>
        <w:br/>
        <w:t>z dnia 12 stycznia 1991 r. o podatkach i opłatach lokalnych (Dz. U. z 2019 r. poz.1170), zwaną dalej: „stawką podstawową”, z wyjątkiem bud</w:t>
      </w:r>
      <w:r>
        <w:rPr>
          <w:color w:val="000000"/>
          <w:u w:color="000000"/>
        </w:rPr>
        <w:t xml:space="preserve">owli związanych z prowadzeniem działalności w zakresie zbiorowego </w:t>
      </w:r>
      <w:r>
        <w:rPr>
          <w:color w:val="000000"/>
          <w:u w:color="000000"/>
        </w:rPr>
        <w:lastRenderedPageBreak/>
        <w:t>zaopatrzenia w wodę w rozumieniu ustawy z dnia 7 czerwca 2001 r. o zbiorowym zaopatrzeniu w wodę i zbiorowym odprowadzaniu ścieków (Dz. U. z 2019 r. poz. 1437, 1495, z 2020 r. poz. 284, 471)</w:t>
      </w:r>
      <w:r>
        <w:rPr>
          <w:color w:val="000000"/>
          <w:u w:color="000000"/>
        </w:rPr>
        <w:t xml:space="preserve">, dla których określa się stawkę podatku w wysokości – </w:t>
      </w:r>
      <w:r>
        <w:rPr>
          <w:b/>
          <w:color w:val="000000"/>
          <w:u w:color="000000"/>
        </w:rPr>
        <w:t>1 %</w:t>
      </w:r>
      <w:r>
        <w:rPr>
          <w:color w:val="000000"/>
          <w:u w:color="000000"/>
        </w:rPr>
        <w:t xml:space="preserve"> ich wartości określonej na podstawie art. 4 ust. 1 pkt 3 i ust. 3-7 ustawy z dnia 12 stycznia 1991 r. o podatkach i opłatach lokalnych ( Dz. U. z 2019 r. poz. 1170), zwaną dalej „stawką preferencyj</w:t>
      </w:r>
      <w:r>
        <w:rPr>
          <w:color w:val="000000"/>
          <w:u w:color="000000"/>
        </w:rPr>
        <w:t>ną”.</w:t>
      </w:r>
    </w:p>
    <w:p w:rsidR="00A77B3E" w:rsidRDefault="00B071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Różnica pomiędzy stawką podstawową, a stawką preferencyjną, o których mowa w § 1 ust. 1 pkt 3 niniejszej uchwały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zgodnie z rozporządzeniem Komisji (UE) Nr 1407/2013 z dnia 18 grudnia 2013 r. w sprawie stosowania art. 107 i</w:t>
      </w:r>
      <w:r>
        <w:rPr>
          <w:color w:val="000000"/>
          <w:u w:color="000000"/>
        </w:rPr>
        <w:t> 108 Traktatu</w:t>
      </w:r>
      <w:r>
        <w:rPr>
          <w:color w:val="000000"/>
          <w:u w:color="000000"/>
        </w:rPr>
        <w:br/>
        <w:t xml:space="preserve">o 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352</w:t>
      </w:r>
      <w:r>
        <w:rPr>
          <w:color w:val="000000"/>
          <w:u w:color="000000"/>
        </w:rPr>
        <w:br/>
        <w:t>z 24.12.2013, L 215 z 7.7.2020 r.). Stawka preferencyjna w odniesieniu do podatników prowadzących działalność gospodarczą, niezależnie od formy prawnej oraz sposobu fi</w:t>
      </w:r>
      <w:r>
        <w:rPr>
          <w:color w:val="000000"/>
          <w:u w:color="000000"/>
        </w:rPr>
        <w:t xml:space="preserve">nansowania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udzielaną w zakresie i na zasadach wynikających z przepisów prawa Unii Europejskiej dotyczących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.</w:t>
      </w:r>
    </w:p>
    <w:p w:rsidR="00A77B3E" w:rsidRDefault="00B071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pomocy, o której mowa w ust. 2, wymaga spełnienia warunków wynikających z rozporządzenia</w:t>
      </w:r>
      <w:r>
        <w:rPr>
          <w:color w:val="000000"/>
          <w:u w:color="000000"/>
        </w:rPr>
        <w:t xml:space="preserve"> Komisji (UE) Nr 1407/2013 z dnia 18 grudnia 2013 r.</w:t>
      </w:r>
      <w:r>
        <w:rPr>
          <w:color w:val="000000"/>
          <w:u w:color="000000"/>
        </w:rPr>
        <w:br/>
        <w:t xml:space="preserve">w 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352 z 24.12.2013, L 215 z 07.07.2020 r.) oraz z art. 37 ust. 1 ustawy z dnia 30 kwietni</w:t>
      </w:r>
      <w:r>
        <w:rPr>
          <w:color w:val="000000"/>
          <w:u w:color="000000"/>
        </w:rPr>
        <w:t>a 2004 r. o postępowaniu w sprawach dotyczących pomocy publicznej (Dz. U. z 2020 r. poz. 708).</w:t>
      </w:r>
    </w:p>
    <w:p w:rsidR="00A77B3E" w:rsidRDefault="00B071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B071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XVI/82/2019 Rady Gminy Nieporęt z dnia 24 października 2019 r.</w:t>
      </w:r>
      <w:r>
        <w:rPr>
          <w:color w:val="000000"/>
          <w:u w:color="000000"/>
        </w:rPr>
        <w:br/>
        <w:t>w sprawie st</w:t>
      </w:r>
      <w:r>
        <w:rPr>
          <w:color w:val="000000"/>
          <w:u w:color="000000"/>
        </w:rPr>
        <w:t xml:space="preserve">awek podatku od nieruchomości 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poz. 14087).</w:t>
      </w:r>
    </w:p>
    <w:p w:rsidR="00A77B3E" w:rsidRDefault="00B071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B071D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z dniem 1 stycznia 2021 r.</w:t>
      </w:r>
    </w:p>
    <w:p w:rsidR="00E8032C" w:rsidRDefault="00E8032C">
      <w:pPr>
        <w:rPr>
          <w:szCs w:val="20"/>
          <w:lang w:val="x-none" w:eastAsia="en-US" w:bidi="ar-SA"/>
        </w:rPr>
      </w:pPr>
    </w:p>
    <w:p w:rsidR="00E8032C" w:rsidRDefault="00B071D1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:rsidR="00E8032C" w:rsidRDefault="00B071D1">
      <w:pPr>
        <w:spacing w:before="120" w:after="120"/>
        <w:ind w:firstLine="227"/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do projektu uchwały w sprawie stawek podatku od nieruchomości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art.18 ust. 2 pkt 8 ustawy z dnia 8 marca 1990 r. o samorządzie gminnym (Dz. U. </w:t>
      </w:r>
      <w:r>
        <w:rPr>
          <w:sz w:val="24"/>
          <w:szCs w:val="20"/>
          <w:lang w:val="x-none" w:eastAsia="en-US" w:bidi="ar-SA"/>
        </w:rPr>
        <w:br/>
      </w:r>
      <w:r>
        <w:rPr>
          <w:sz w:val="24"/>
          <w:szCs w:val="20"/>
          <w:lang w:val="x-none" w:eastAsia="en-US" w:bidi="ar-SA"/>
        </w:rPr>
        <w:t xml:space="preserve">z 2020 r. poz. 713 z </w:t>
      </w:r>
      <w:proofErr w:type="spellStart"/>
      <w:r>
        <w:rPr>
          <w:sz w:val="24"/>
          <w:szCs w:val="20"/>
          <w:lang w:val="x-none" w:eastAsia="en-US" w:bidi="ar-SA"/>
        </w:rPr>
        <w:t>późn</w:t>
      </w:r>
      <w:proofErr w:type="spellEnd"/>
      <w:r>
        <w:rPr>
          <w:sz w:val="24"/>
          <w:szCs w:val="20"/>
          <w:lang w:val="x-none" w:eastAsia="en-US" w:bidi="ar-SA"/>
        </w:rPr>
        <w:t xml:space="preserve">. zm.) do właściwości rady gminy należy podejmowanie uchwał </w:t>
      </w:r>
      <w:r>
        <w:rPr>
          <w:sz w:val="24"/>
          <w:szCs w:val="20"/>
          <w:lang w:val="x-none" w:eastAsia="en-US" w:bidi="ar-SA"/>
        </w:rPr>
        <w:br/>
        <w:t>w sprawach podatków i opłat w granicach określonych w odrębnych ustawach.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Art. 5 ust. 1 ustawy z dnia 12 stycznia 1991 r. o podatkach i opłatach lokalnych (Dz.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U. </w:t>
      </w:r>
      <w:r>
        <w:rPr>
          <w:sz w:val="24"/>
          <w:szCs w:val="20"/>
          <w:lang w:val="x-none" w:eastAsia="en-US" w:bidi="ar-SA"/>
        </w:rPr>
        <w:br/>
        <w:t>z 2019</w:t>
      </w:r>
      <w:r>
        <w:rPr>
          <w:sz w:val="24"/>
          <w:szCs w:val="20"/>
          <w:lang w:val="x-none" w:eastAsia="en-US" w:bidi="ar-SA"/>
        </w:rPr>
        <w:t xml:space="preserve"> r. poz. 1170) obliguje Radę Gminy do podejmowania uchwał w sprawie określenia wysokości stawek podatku od nieruchomości, które nie mogą jednak przekroczyć rocznie stawek maksymalnych dla poszczególnych rodzajów nieruchomości (gruntów, budynków, budowli) z</w:t>
      </w:r>
      <w:r>
        <w:rPr>
          <w:sz w:val="24"/>
          <w:szCs w:val="20"/>
          <w:lang w:val="x-none" w:eastAsia="en-US" w:bidi="ar-SA"/>
        </w:rPr>
        <w:t>awartych w art. 5 ust. 1 pkt 1-3 powołanej wyżej ustawy. Stawki podatku od nieruchomości zaproponowane w niniejszym projekcie uchwały zostały ustalone zgodnie z obwieszczeniem Ministra Finansów z dnia 23 lipca 2020 r. w sprawie górnych granic stawek kwotow</w:t>
      </w:r>
      <w:r>
        <w:rPr>
          <w:sz w:val="24"/>
          <w:szCs w:val="20"/>
          <w:lang w:val="x-none" w:eastAsia="en-US" w:bidi="ar-SA"/>
        </w:rPr>
        <w:t>ych podatków i opłat lokalnych na rok 2020 (M. P. poz. 673).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Na podstawie art. 20 ustawy o podatkach i opłatach lokalnych, górne granice stawek kwotowych określone w art. 5 ust. 1 obowiązujące w danym roku podatkowym, ulegają corocznie zmianie na następny </w:t>
      </w:r>
      <w:r>
        <w:rPr>
          <w:sz w:val="24"/>
          <w:szCs w:val="20"/>
          <w:lang w:val="x-none" w:eastAsia="en-US" w:bidi="ar-SA"/>
        </w:rPr>
        <w:t>rok podatkowy w stopniu odpowiadającym wskaźnikowi cen towarów i usług konsumpcyjnych w okresie pierwszego półrocza roku, w którym stawki ulegają zmianie, w stosunku do analogicznego okresu roku poprzedniego. Minister właściwy do spraw finansów publicznych</w:t>
      </w:r>
      <w:r>
        <w:rPr>
          <w:sz w:val="24"/>
          <w:szCs w:val="20"/>
          <w:lang w:val="x-none" w:eastAsia="en-US" w:bidi="ar-SA"/>
        </w:rPr>
        <w:t xml:space="preserve"> ogłasza, w drodze obwieszczenia, w Dzienniku Urzędowym Rzeczypospolitej Polskiej „Monitor Polski”, górne granice stawek kwotowych na każdy rok podatkowy z uwzględnieniem wskaźnika cen towarów i usług konsumpcyjnych zaokrąglając w górę do pełnych groszy.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</w:t>
      </w:r>
      <w:r>
        <w:rPr>
          <w:sz w:val="24"/>
          <w:szCs w:val="20"/>
          <w:lang w:val="x-none" w:eastAsia="en-US" w:bidi="ar-SA"/>
        </w:rPr>
        <w:t>skaźnik cen, o którym mowa w art. 20 ust. 1, ustala się na podstawie komunikatu Prezesa Głównego Urzędu Statystycznego ogłoszonego w Dzienniku Urzędowym Rzeczypospolitej Polskiej „Monitor Polski” w terminie 20 dni po upływie pierwszego półrocza.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</w:t>
      </w:r>
      <w:r>
        <w:rPr>
          <w:sz w:val="24"/>
          <w:szCs w:val="20"/>
          <w:lang w:val="x-none" w:eastAsia="en-US" w:bidi="ar-SA"/>
        </w:rPr>
        <w:t>komunikatem Prezesa Głównego Urzędu Statystycznego w dnia 15 lipca 2020 r. opublikowanym w Monitorze Polskim z dnia 16 lipca 2020 r. poz. 625, wskaźnik cen towarów i usług konsumpcyjnych w I półroczu 2020 r. w stosunku do I półrocza 2019 r. wyniósł 103,9 (</w:t>
      </w:r>
      <w:r>
        <w:rPr>
          <w:sz w:val="24"/>
          <w:szCs w:val="20"/>
          <w:lang w:val="x-none" w:eastAsia="en-US" w:bidi="ar-SA"/>
        </w:rPr>
        <w:t>wzrost cen o 3,9%).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Minister właściwy do spraw finansów publicznych ogłasza w drodze obwieszczenia, w Dzienniku Urzędowym Rzeczypospolitej Polskiej „Monitor Polski”, górne granice stawek kwotowych podatku od nieruchomości. Na rok 2021 stawki podatku od nie</w:t>
      </w:r>
      <w:r>
        <w:rPr>
          <w:sz w:val="24"/>
          <w:szCs w:val="20"/>
          <w:lang w:val="x-none" w:eastAsia="en-US" w:bidi="ar-SA"/>
        </w:rPr>
        <w:t>ruchomości zostały ogłoszone obwieszczeniem Ministra Finansów z dnia 23 lipca 2020 r. (M. P. poz. 673).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Na podstawie art. 5 ust. 2 i 4 ustawy o podatkach i opłatach lokalnych, rada gminy może także różnicować wysokość stawek podatku od nieruchomości dla po</w:t>
      </w:r>
      <w:r>
        <w:rPr>
          <w:sz w:val="24"/>
          <w:szCs w:val="20"/>
          <w:lang w:val="x-none" w:eastAsia="en-US" w:bidi="ar-SA"/>
        </w:rPr>
        <w:t>szczególnych rodzajów przedmiotów opodatkowania. Przy określaniu wysokości stawek w przypadku podatku od nieruchomości rada gminy może różnicować ich wysokość dla poszczególnych rodzajów przedmiotów opodatkowania, uwzględniając w szczególności lokalizację,</w:t>
      </w:r>
      <w:r>
        <w:rPr>
          <w:sz w:val="24"/>
          <w:szCs w:val="20"/>
          <w:lang w:val="x-none" w:eastAsia="en-US" w:bidi="ar-SA"/>
        </w:rPr>
        <w:t xml:space="preserve"> rodzaj prowadzonej działalności, rodzaj zabudowy, przeznaczenie i sposób wykorzystania gruntu.</w:t>
      </w:r>
    </w:p>
    <w:p w:rsidR="00E8032C" w:rsidRDefault="00B071D1">
      <w:pPr>
        <w:rPr>
          <w:color w:val="FF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art. 20b ustawy o podatkach i opłatach lokalnych – w przypadkach, o których mowa w art. 5 ust. 2-4, (…) jeżeli uchwała rady gminy przewiduje udzieleni</w:t>
      </w:r>
      <w:r>
        <w:rPr>
          <w:sz w:val="24"/>
          <w:szCs w:val="20"/>
          <w:lang w:val="x-none" w:eastAsia="en-US" w:bidi="ar-SA"/>
        </w:rPr>
        <w:t>e pomocy publicznej, uchwała ta powinna być podjęta z uwzględnieniem przepisów dotyczących pomocy publicznej.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art. 20c ustawy o podatkach i opłatach lokalnych – w przypadkach, o których mowa w art. 5 ust. 2-4, (…) jeżeli uchwała rady gminy przewi</w:t>
      </w:r>
      <w:r>
        <w:rPr>
          <w:sz w:val="24"/>
          <w:szCs w:val="20"/>
          <w:lang w:val="x-none" w:eastAsia="en-US" w:bidi="ar-SA"/>
        </w:rPr>
        <w:t xml:space="preserve">duje udzielanie pomocy publicznej, pomoc ta jest udzielana jako pomoc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>.</w:t>
      </w:r>
    </w:p>
    <w:p w:rsidR="00E8032C" w:rsidRDefault="00B071D1">
      <w:pPr>
        <w:suppressAutoHyphens/>
        <w:ind w:firstLine="360"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 xml:space="preserve">Z punktu widzenia zabezpieczenia dochodów Gminy celowe jest i zasadne określenie następującej wysokości stawek na 2021 rok: 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0,90 zł od 1m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 xml:space="preserve"> powierzchni dla gruntów związanych</w:t>
      </w:r>
      <w:r>
        <w:rPr>
          <w:sz w:val="24"/>
          <w:szCs w:val="20"/>
          <w:lang w:val="ar-SA" w:eastAsia="ar-SA" w:bidi="ar-SA"/>
        </w:rPr>
        <w:t xml:space="preserve"> z prowadzeniem działalności gospodarczej,  tj. wzrost stawki w stosunku do obowiązującej na 2020 rok o 0,07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lastRenderedPageBreak/>
        <w:t>4,87 zł od 1ha powierzchni dla gruntów pod  wodami powierzchniowymi stojącymi lub wodami powierzchniowymi płynącymi jezior i zbiorników sztuczn</w:t>
      </w:r>
      <w:r>
        <w:rPr>
          <w:sz w:val="24"/>
          <w:szCs w:val="20"/>
          <w:lang w:val="ar-SA" w:eastAsia="ar-SA" w:bidi="ar-SA"/>
        </w:rPr>
        <w:t>ych, tj. wzrost stawki w stosunku do obowiązującej na 2020 rok o 0,24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0,37 zł od 1m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 xml:space="preserve"> powierzchni dla gruntów pozostałych, tj. wzrost stawki w stosunku </w:t>
      </w:r>
      <w:r>
        <w:rPr>
          <w:sz w:val="24"/>
          <w:szCs w:val="20"/>
          <w:lang w:val="ar-SA" w:eastAsia="ar-SA" w:bidi="ar-SA"/>
        </w:rPr>
        <w:br/>
        <w:t>do obowiązującej na 2020 rok o 0,04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3,20 zł od 1 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>powierzchni dla gruntów niezabudowanych objęt</w:t>
      </w:r>
      <w:r>
        <w:rPr>
          <w:sz w:val="24"/>
          <w:szCs w:val="20"/>
          <w:lang w:val="ar-SA" w:eastAsia="ar-SA" w:bidi="ar-SA"/>
        </w:rPr>
        <w:t>ych obszarem rewitalizacji, o którym mowa w ustawie z dnia 9 października 2015 r. o rewitalizacji, tj. wzrost stawki w stosunku do obowiązującej na 2020 r. o 0,14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0,75 zł od 1m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 xml:space="preserve"> powierzchni użytkowej budynków mieszkalnych, tj. wzrost stawki </w:t>
      </w:r>
      <w:r>
        <w:rPr>
          <w:sz w:val="24"/>
          <w:szCs w:val="20"/>
          <w:lang w:val="ar-SA" w:eastAsia="ar-SA" w:bidi="ar-SA"/>
        </w:rPr>
        <w:br/>
        <w:t>w stosunku</w:t>
      </w:r>
      <w:r>
        <w:rPr>
          <w:sz w:val="24"/>
          <w:szCs w:val="20"/>
          <w:lang w:val="ar-SA" w:eastAsia="ar-SA" w:bidi="ar-SA"/>
        </w:rPr>
        <w:t xml:space="preserve"> do obowiązującej na 2020 rok o 0,09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22,50 zł od 1m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 xml:space="preserve"> powierzchni użytkowej budynków zajętych na prowadzenie działalności gospodarczej, tj. wzrost stawki w stosunku do obowiązującej na 2020 rok o 1,50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10,80 zł od 1m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 xml:space="preserve"> powierzchni użytkowej budynków z</w:t>
      </w:r>
      <w:r>
        <w:rPr>
          <w:sz w:val="24"/>
          <w:szCs w:val="20"/>
          <w:lang w:val="ar-SA" w:eastAsia="ar-SA" w:bidi="ar-SA"/>
        </w:rPr>
        <w:t>ajętych na prowadzenie działalności gospodarczej w zakresie obrotu kwalifikowanym materiałem siewnym, tj. wzrost stawki w stosunku do obowiązującej na 2020 rok o 0,52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5,06 zł od 1m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 xml:space="preserve"> powierzchni użytkowej budynków związanych z udzielaniem świadczeń zdrowotnych w rozumieniu przepisów o działalności leczniczej, zajętych przez podmioty udzielające tych świadczeń, tj. wzrost stawki w stosunku do obowiązującej na 2020 rok o 0,33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7,60 z</w:t>
      </w:r>
      <w:r>
        <w:rPr>
          <w:sz w:val="24"/>
          <w:szCs w:val="20"/>
          <w:lang w:val="ar-SA" w:eastAsia="ar-SA" w:bidi="ar-SA"/>
        </w:rPr>
        <w:t>ł od 1m</w:t>
      </w:r>
      <w:r>
        <w:rPr>
          <w:sz w:val="24"/>
          <w:szCs w:val="20"/>
          <w:vertAlign w:val="superscript"/>
          <w:lang w:val="ar-SA" w:eastAsia="ar-SA" w:bidi="ar-SA"/>
        </w:rPr>
        <w:t>2</w:t>
      </w:r>
      <w:r>
        <w:rPr>
          <w:sz w:val="24"/>
          <w:szCs w:val="20"/>
          <w:lang w:val="ar-SA" w:eastAsia="ar-SA" w:bidi="ar-SA"/>
        </w:rPr>
        <w:t xml:space="preserve"> powierzchni użytkowej pozostałych budynków, w tym zajętych na prowadzenie odpłatnej statutowej działalności pożytku publicznego przez organizacje pożytku publicznego tj. wzrost stawki w stosunku do obowiązującej na 2020 rok o 0,83 zł,</w:t>
      </w:r>
    </w:p>
    <w:p w:rsidR="00E8032C" w:rsidRDefault="00B071D1">
      <w:pPr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2% od wartoś</w:t>
      </w:r>
      <w:r>
        <w:rPr>
          <w:sz w:val="24"/>
          <w:szCs w:val="20"/>
          <w:lang w:val="ar-SA" w:eastAsia="ar-SA" w:bidi="ar-SA"/>
        </w:rPr>
        <w:t>ci budowli, tj. pozostawienie w takiej samej wysokości jak obowiązującej na 2020 r.</w:t>
      </w:r>
    </w:p>
    <w:p w:rsidR="00E8032C" w:rsidRDefault="00B071D1">
      <w:pPr>
        <w:suppressAutoHyphens/>
        <w:ind w:firstLine="360"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Preferencyjne stawki tj. obniżone w stosunku do górnych granic określonych przez Ministra Finansów zastosowano przy ustalaniu wysokości następujących stawek: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od gruntów zwi</w:t>
      </w:r>
      <w:r>
        <w:rPr>
          <w:sz w:val="24"/>
          <w:szCs w:val="20"/>
          <w:lang w:val="ar-SA" w:eastAsia="ar-SA" w:bidi="ar-SA"/>
        </w:rPr>
        <w:t>ązanych z prowadzeniem działalności gospodarczej, bez względu na sposób zakwalifikowania w ewidencji gruntów i budynków (90,91% stawki M.F.),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od gruntów pod wodami powierzchniowymi stojącymi lub wodami powierzchniowymi płynącymi jezior i zbiorników sztuczn</w:t>
      </w:r>
      <w:r>
        <w:rPr>
          <w:sz w:val="24"/>
          <w:szCs w:val="20"/>
          <w:lang w:val="ar-SA" w:eastAsia="ar-SA" w:bidi="ar-SA"/>
        </w:rPr>
        <w:t>ych (97,60% stawki M.F.),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od gruntów pozostałych, w tym zajętych na prowadzenie odpłatnej statutowej działalności pożytku publicznego przez organizacje pożytku publicznego (71,15 % stawki M.F.),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x-none" w:eastAsia="en-US" w:bidi="ar-SA"/>
        </w:rPr>
        <w:t xml:space="preserve">niezabudowanych objętych obszarem rewitalizacji, o którym mowa w ustawie z dnia </w:t>
      </w:r>
      <w:r>
        <w:rPr>
          <w:sz w:val="24"/>
          <w:szCs w:val="20"/>
          <w:lang w:val="x-none" w:eastAsia="en-US" w:bidi="ar-SA"/>
        </w:rPr>
        <w:br/>
        <w:t xml:space="preserve">9 października 2015 r. o rewitalizacji (Dz. U. z 2020 r. poz. 802 z </w:t>
      </w:r>
      <w:proofErr w:type="spellStart"/>
      <w:r>
        <w:rPr>
          <w:sz w:val="24"/>
          <w:szCs w:val="20"/>
          <w:lang w:val="x-none" w:eastAsia="en-US" w:bidi="ar-SA"/>
        </w:rPr>
        <w:t>późn</w:t>
      </w:r>
      <w:proofErr w:type="spellEnd"/>
      <w:r>
        <w:rPr>
          <w:sz w:val="24"/>
          <w:szCs w:val="20"/>
          <w:lang w:val="x-none" w:eastAsia="en-US" w:bidi="ar-SA"/>
        </w:rPr>
        <w:t xml:space="preserve">. </w:t>
      </w:r>
      <w:proofErr w:type="spellStart"/>
      <w:r>
        <w:rPr>
          <w:sz w:val="24"/>
          <w:szCs w:val="20"/>
          <w:lang w:val="x-none" w:eastAsia="en-US" w:bidi="ar-SA"/>
        </w:rPr>
        <w:t>zm</w:t>
      </w:r>
      <w:proofErr w:type="spellEnd"/>
      <w:r>
        <w:rPr>
          <w:sz w:val="24"/>
          <w:szCs w:val="20"/>
          <w:lang w:val="x-none" w:eastAsia="en-US" w:bidi="ar-SA"/>
        </w:rPr>
        <w:t xml:space="preserve">), </w:t>
      </w:r>
      <w:r>
        <w:rPr>
          <w:sz w:val="24"/>
          <w:szCs w:val="20"/>
          <w:lang w:val="x-none" w:eastAsia="en-US" w:bidi="ar-SA"/>
        </w:rPr>
        <w:br/>
        <w:t>i położonych na terenach, dla których miejscowy plan zagospodarowania przestrzennego przewiduje</w:t>
      </w:r>
      <w:r>
        <w:rPr>
          <w:sz w:val="24"/>
          <w:szCs w:val="20"/>
          <w:lang w:val="x-none" w:eastAsia="en-US" w:bidi="ar-SA"/>
        </w:rPr>
        <w:t xml:space="preserve"> przeznaczenie pod zabudowę mieszkaniową, usługową albo zabudowę o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przeznaczeniu mieszanym obejmującym wyłącznie te rodzaje zabudowy, jeżeli od dnia wejścia w życie tego planu w odniesieniu do tych gruntów upłynął okres 4 lat, a w tym czasie nie zakończono</w:t>
      </w:r>
      <w:r>
        <w:rPr>
          <w:sz w:val="24"/>
          <w:szCs w:val="20"/>
          <w:lang w:val="x-none" w:eastAsia="en-US" w:bidi="ar-SA"/>
        </w:rPr>
        <w:t xml:space="preserve"> budowy zgodnie z przepisami prawa budowlanego (97,55% stawki M. F.)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od budynków mieszkalnych (88,24 % stawki M.F.)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od budynków związanych z prowadzeniem działalności gospodarczej oraz od budynków mieszkalnych lub ich części zajętych na prowadzenie działal</w:t>
      </w:r>
      <w:r>
        <w:rPr>
          <w:sz w:val="24"/>
          <w:szCs w:val="20"/>
          <w:lang w:val="ar-SA" w:eastAsia="ar-SA" w:bidi="ar-SA"/>
        </w:rPr>
        <w:t>ności gospodarczej (90,58% stawki M.F.),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od budynków zajętych na prowadzenie działalności gospodarczej w zakresie obrotu kwalifikowanym materiałem siewnym (92,94% stawki M.F.),</w:t>
      </w:r>
    </w:p>
    <w:p w:rsidR="00E8032C" w:rsidRDefault="00B071D1">
      <w:pPr>
        <w:numPr>
          <w:ilvl w:val="0"/>
          <w:numId w:val="2"/>
        </w:numPr>
        <w:suppressAutoHyphens/>
        <w:contextualSpacing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od budynków pozostałych, w tym zajętych na prowadzenie odpłatnej statutowej dzi</w:t>
      </w:r>
      <w:r>
        <w:rPr>
          <w:sz w:val="24"/>
          <w:szCs w:val="20"/>
          <w:lang w:val="ar-SA" w:eastAsia="ar-SA" w:bidi="ar-SA"/>
        </w:rPr>
        <w:t>ałalności pożytku publicznego przez org. pożytku publicznego (90,80% stawki M.F.).</w:t>
      </w:r>
    </w:p>
    <w:p w:rsidR="00E8032C" w:rsidRDefault="00B071D1">
      <w:pPr>
        <w:suppressAutoHyphens/>
        <w:ind w:firstLine="426"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Proponowane - obniżone w stosunku do ustalonych przez Ministra Finansów stawki - powodują obniżenie dochodów Gminy z tytułu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ar-SA" w:eastAsia="ar-SA" w:bidi="ar-SA"/>
        </w:rPr>
        <w:t xml:space="preserve">podatku od nieruchomości o kwotę w wysokości </w:t>
      </w:r>
      <w:r>
        <w:rPr>
          <w:sz w:val="24"/>
          <w:szCs w:val="20"/>
        </w:rPr>
        <w:t xml:space="preserve">    </w:t>
      </w:r>
      <w:r>
        <w:rPr>
          <w:sz w:val="24"/>
          <w:szCs w:val="20"/>
        </w:rPr>
        <w:t xml:space="preserve">         </w:t>
      </w:r>
      <w:r>
        <w:rPr>
          <w:sz w:val="24"/>
          <w:szCs w:val="20"/>
          <w:lang w:val="ar-SA" w:eastAsia="ar-SA" w:bidi="ar-SA"/>
        </w:rPr>
        <w:t>ok.1 873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ar-SA" w:eastAsia="ar-SA" w:bidi="ar-SA"/>
        </w:rPr>
        <w:t>000,00 zł.</w:t>
      </w:r>
    </w:p>
    <w:p w:rsidR="00E8032C" w:rsidRDefault="00B071D1">
      <w:pPr>
        <w:suppressAutoHyphens/>
        <w:ind w:firstLine="426"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lastRenderedPageBreak/>
        <w:t>Proponowany wzrost stawek w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ar-SA" w:eastAsia="ar-SA" w:bidi="ar-SA"/>
        </w:rPr>
        <w:t>stosunku do obowiązujących w roku 2020 ma na celu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ar-SA" w:eastAsia="ar-SA" w:bidi="ar-SA"/>
        </w:rPr>
        <w:t>zmniejszenie dysproporcji między górnymi</w:t>
      </w:r>
      <w:r>
        <w:rPr>
          <w:color w:val="FF0000"/>
          <w:sz w:val="24"/>
          <w:szCs w:val="20"/>
          <w:lang w:val="ar-SA" w:eastAsia="ar-SA" w:bidi="ar-SA"/>
        </w:rPr>
        <w:t xml:space="preserve"> </w:t>
      </w:r>
      <w:r>
        <w:rPr>
          <w:sz w:val="24"/>
          <w:szCs w:val="20"/>
          <w:lang w:val="ar-SA" w:eastAsia="ar-SA" w:bidi="ar-SA"/>
        </w:rPr>
        <w:t>stawkami określonymi przez Ministra Finansów a stawkami uchwalonymi przez Radę Gminy i tym samym nie zwiększ</w:t>
      </w:r>
      <w:r>
        <w:rPr>
          <w:sz w:val="24"/>
          <w:szCs w:val="20"/>
          <w:lang w:val="ar-SA" w:eastAsia="ar-SA" w:bidi="ar-SA"/>
        </w:rPr>
        <w:t>anie  skutków obniżenia stawek podatkowych uchwalanych przez Gminę w stosunku do uregulowanych w przepisie przez Ministra Finansów a jednocześnie zapewnienie wpływów do budżetu na poziomie umożliwiającym realizację zadań Gminy zaplanowanych na rok budżetow</w:t>
      </w:r>
      <w:r>
        <w:rPr>
          <w:sz w:val="24"/>
          <w:szCs w:val="20"/>
          <w:lang w:val="ar-SA" w:eastAsia="ar-SA" w:bidi="ar-SA"/>
        </w:rPr>
        <w:t xml:space="preserve">y 2021. </w:t>
      </w:r>
    </w:p>
    <w:p w:rsidR="00E8032C" w:rsidRDefault="00B071D1">
      <w:pPr>
        <w:suppressAutoHyphens/>
        <w:ind w:firstLine="426"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>Projekt przewiduje utrzymanie istniejącej od 2018 r. na terenie gminy zróżnicowanej stawki podatkowej, dotyczącej „budynków pozostałych” w postaci stodół posadowionych na użytkach rolnych niestanowiących gospodarstw rolnych oraz szklarni niezajęty</w:t>
      </w:r>
      <w:r>
        <w:rPr>
          <w:sz w:val="24"/>
          <w:szCs w:val="20"/>
          <w:lang w:val="ar-SA" w:eastAsia="ar-SA" w:bidi="ar-SA"/>
        </w:rPr>
        <w:t>ch na prowadzenie działów specjalnych produkcji rolnej oraz różnicowanie stawki podatkowej od budowli, tj. wprowadzony od 2016 r. wyjątek/ stawkę preferencyjną – dla budowli związanych z prowadzeniem działalności w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ar-SA" w:eastAsia="ar-SA" w:bidi="ar-SA"/>
        </w:rPr>
        <w:t>zakresie zbiorowego zaopatrzenia w wodę w</w:t>
      </w:r>
      <w:r>
        <w:rPr>
          <w:sz w:val="24"/>
          <w:szCs w:val="20"/>
          <w:lang w:val="ar-SA" w:eastAsia="ar-SA" w:bidi="ar-SA"/>
        </w:rPr>
        <w:t xml:space="preserve"> rozumieniu ustawy z dnia 7 czerwca 2001 r. o zbiorowym zaopatrzeniu w wodę i zbiorowym odprowadzaniu ścieków ( Dz. U. z 2019 r. poz. 1437 z późn. zm.)</w:t>
      </w:r>
    </w:p>
    <w:p w:rsidR="00E8032C" w:rsidRDefault="00B071D1">
      <w:pPr>
        <w:suppressAutoHyphens/>
        <w:ind w:firstLine="426"/>
        <w:rPr>
          <w:sz w:val="24"/>
          <w:szCs w:val="20"/>
          <w:lang w:val="ar-SA" w:eastAsia="ar-SA" w:bidi="ar-SA"/>
        </w:rPr>
      </w:pPr>
      <w:r>
        <w:rPr>
          <w:sz w:val="24"/>
          <w:szCs w:val="20"/>
          <w:lang w:val="ar-SA" w:eastAsia="ar-SA" w:bidi="ar-SA"/>
        </w:rPr>
        <w:t xml:space="preserve">Projekt przewiduje również utrzymanie wprowadzonej w latach ubiegłych preferencyjnej  stawki podatkowej </w:t>
      </w:r>
      <w:r>
        <w:rPr>
          <w:sz w:val="24"/>
          <w:szCs w:val="20"/>
          <w:lang w:val="ar-SA" w:eastAsia="ar-SA" w:bidi="ar-SA"/>
        </w:rPr>
        <w:t>od budynków lub ich części zajętych na prowadzenie działalności gospodarczej, w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ar-SA" w:eastAsia="ar-SA" w:bidi="ar-SA"/>
        </w:rPr>
        <w:t>zakresie prowadzenia żłobków i klubów dziecięcych wpisanych do rejestru żłobków i klubów dziecięcych zgodnie z ustawą z dnia 4 lutego 2011 r. o opiece nad dziećmi w wieku do la</w:t>
      </w:r>
      <w:r>
        <w:rPr>
          <w:sz w:val="24"/>
          <w:szCs w:val="20"/>
          <w:lang w:val="ar-SA" w:eastAsia="ar-SA" w:bidi="ar-SA"/>
        </w:rPr>
        <w:t>t 3 (Dz. U. z 2020 r. poz. 326 z późn. zm.) dla wszystkich nieruchomości, w których prowadzona jest działalność w zakresie prowadzenia żłobków i klubów dziecięcych, a które nie mieszczą się w ramach zwolnienia ustawowego.</w:t>
      </w:r>
    </w:p>
    <w:p w:rsidR="00E8032C" w:rsidRDefault="00E8032C">
      <w:pPr>
        <w:suppressAutoHyphens/>
        <w:rPr>
          <w:sz w:val="24"/>
          <w:szCs w:val="20"/>
          <w:lang w:val="ar-SA" w:eastAsia="ar-SA" w:bidi="ar-SA"/>
        </w:rPr>
      </w:pP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 Unii Europejskiej (UE) zasadnic</w:t>
      </w:r>
      <w:r>
        <w:rPr>
          <w:sz w:val="24"/>
          <w:szCs w:val="20"/>
          <w:lang w:val="x-none" w:eastAsia="en-US" w:bidi="ar-SA"/>
        </w:rPr>
        <w:t xml:space="preserve">zo obowiązuje zakaz udzielania pomocy publicznej. Unia Europejska stoi bowiem na stanowisku, że każda forma selektywnego wsparcia, udzielanego </w:t>
      </w:r>
      <w:r>
        <w:rPr>
          <w:sz w:val="24"/>
          <w:szCs w:val="20"/>
          <w:lang w:val="x-none" w:eastAsia="en-US" w:bidi="ar-SA"/>
        </w:rPr>
        <w:br/>
        <w:t>z zasobów państwowych podmiotom zaangażowanym w działalność gospodarczą, mającą wpływ na wewnętrzny rynek UE, st</w:t>
      </w:r>
      <w:r>
        <w:rPr>
          <w:sz w:val="24"/>
          <w:szCs w:val="20"/>
          <w:lang w:val="x-none" w:eastAsia="en-US" w:bidi="ar-SA"/>
        </w:rPr>
        <w:t>awia ich w pozycji uprzywilejowanej względem tych, którzy pomocy nie otrzymali. Takie selektywne wsparcie powoduje, że zakłócona zostaje swobodna konkurencja. Z pomocą publiczną będziemy mieli do czynienia, o ile wsparcie:</w:t>
      </w:r>
    </w:p>
    <w:p w:rsidR="00E8032C" w:rsidRDefault="00B071D1">
      <w:pPr>
        <w:ind w:left="3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1) dotyczy przedsiębiorstwa (prze</w:t>
      </w:r>
      <w:r>
        <w:rPr>
          <w:sz w:val="24"/>
          <w:szCs w:val="20"/>
          <w:lang w:val="x-none" w:eastAsia="en-US" w:bidi="ar-SA"/>
        </w:rPr>
        <w:t>dsiębiorcy) w rozumieniu unijnego prawa konkurencji,</w:t>
      </w:r>
    </w:p>
    <w:p w:rsidR="00E8032C" w:rsidRDefault="00B071D1">
      <w:pPr>
        <w:ind w:left="3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2) udzielane jest przez państwo lub pochodzi ze środków państwowych,</w:t>
      </w:r>
    </w:p>
    <w:p w:rsidR="00E8032C" w:rsidRDefault="00B071D1">
      <w:pPr>
        <w:ind w:left="3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3) udzielane jest na warunkach korzystniejszych niż oferowane na rynku,</w:t>
      </w:r>
    </w:p>
    <w:p w:rsidR="00E8032C" w:rsidRDefault="00B071D1">
      <w:pPr>
        <w:ind w:left="3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4) ma charakter selektywny (uprzywilejowuje określone przedsię</w:t>
      </w:r>
      <w:r>
        <w:rPr>
          <w:sz w:val="24"/>
          <w:szCs w:val="20"/>
          <w:lang w:val="x-none" w:eastAsia="en-US" w:bidi="ar-SA"/>
        </w:rPr>
        <w:t xml:space="preserve">biorstwo lub przedsiębiorstwa albo produkcję określonych towarów), </w:t>
      </w:r>
    </w:p>
    <w:p w:rsidR="00E8032C" w:rsidRDefault="00B071D1">
      <w:pPr>
        <w:ind w:left="3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5) grozi zakłóceniem lub zakłóca konkurencję oraz wpływa na wymianę handlową między państwami członkowskimi UE.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Należy zauważyć, że pojęcie przedsiębiorstwa jest szeroko rozumiane i obejmuje swym zakresem wszystkie kategorie podmiotów zaangażowanych w działalność gospodarczą, niezależnie od formy prawnej tych podmiotów i źródeł ich finansowania.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Pomoc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st</w:t>
      </w:r>
      <w:r>
        <w:rPr>
          <w:sz w:val="24"/>
          <w:szCs w:val="20"/>
          <w:lang w:val="x-none" w:eastAsia="en-US" w:bidi="ar-SA"/>
        </w:rPr>
        <w:t xml:space="preserve">anowi szczególną kategorię wsparcia udzielanego przez państwo, gdyż uznaje się, że ze względu na swą małą wartość nie powoduje ona zakłócenia konkurencji w wymiarze unijnym.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 związku z powyższym, nie stanowi ona de facto pomocy publicznej w rozumieniu ar</w:t>
      </w:r>
      <w:r>
        <w:rPr>
          <w:sz w:val="24"/>
          <w:szCs w:val="20"/>
          <w:lang w:val="x-none" w:eastAsia="en-US" w:bidi="ar-SA"/>
        </w:rPr>
        <w:t xml:space="preserve">t. 107 ust. 1 TFUE, a w konsekwencji nie podlega obowiązkowi notyfikacji Komisji Europejskiej. Zasady udzielania pomocy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określa Rozporządzenie Komisji (UE) Nr 1407/2013 z dnia 18 grudnia 2013 r. w sprawie stosowania art. 107 i 108 Traktatu o fun</w:t>
      </w:r>
      <w:r>
        <w:rPr>
          <w:sz w:val="24"/>
          <w:szCs w:val="20"/>
          <w:lang w:val="x-none" w:eastAsia="en-US" w:bidi="ar-SA"/>
        </w:rPr>
        <w:t xml:space="preserve">kcjonowaniu Unii Europejskiej do pomocy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(Dz. Urz. UE L 352 z 24.12.2013).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Łączna wartość pomocy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dla jednego beneficjenta nie może przekroczyć równowartości 200 tys. euro brutto w okresie 3 lat podatkowych, a w przypadku podmiotu prowa</w:t>
      </w:r>
      <w:r>
        <w:rPr>
          <w:sz w:val="24"/>
          <w:szCs w:val="20"/>
          <w:lang w:val="x-none" w:eastAsia="en-US" w:bidi="ar-SA"/>
        </w:rPr>
        <w:t>dzącego działalność gospodarczą w sektorze transportu drogowego towarów – 100 tys. euro. Dokonując oceny wniosku przedsiębiorcy, bierze się pod uwagę bieżący rok kalendarzowy oraz dwa poprzednie lata. Nie ma znaczenia forma pomocy, źródło jej pochodzenia a</w:t>
      </w:r>
      <w:r>
        <w:rPr>
          <w:sz w:val="24"/>
          <w:szCs w:val="20"/>
          <w:lang w:val="x-none" w:eastAsia="en-US" w:bidi="ar-SA"/>
        </w:rPr>
        <w:t xml:space="preserve">ni cel, na jaki została wykorzystana - do ogólnej puli wliczane są wszystkie środki uzyskane przez danego przedsiębiorcę jako pomoc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w badanym okresie. </w:t>
      </w:r>
    </w:p>
    <w:p w:rsidR="00E8032C" w:rsidRDefault="00B071D1">
      <w:pPr>
        <w:rPr>
          <w:sz w:val="24"/>
          <w:szCs w:val="20"/>
          <w:u w:val="single"/>
          <w:lang w:val="x-none" w:eastAsia="en-US" w:bidi="ar-SA"/>
        </w:rPr>
      </w:pPr>
      <w:r>
        <w:rPr>
          <w:sz w:val="24"/>
          <w:szCs w:val="20"/>
          <w:u w:val="single"/>
          <w:lang w:val="x-none" w:eastAsia="en-US" w:bidi="ar-SA"/>
        </w:rPr>
        <w:t>Żłobki i kluby dziecięce</w:t>
      </w:r>
    </w:p>
    <w:p w:rsidR="00E8032C" w:rsidRDefault="00B071D1">
      <w:pPr>
        <w:rPr>
          <w:sz w:val="24"/>
          <w:szCs w:val="20"/>
          <w:u w:val="single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lastRenderedPageBreak/>
        <w:t xml:space="preserve">Jednak stosownie do Stanowiska wspólnego Urzędu Ochrony Konkurencji </w:t>
      </w:r>
      <w:r>
        <w:rPr>
          <w:sz w:val="24"/>
          <w:szCs w:val="20"/>
          <w:lang w:val="x-none" w:eastAsia="en-US" w:bidi="ar-SA"/>
        </w:rPr>
        <w:t xml:space="preserve">i Konsumentów </w:t>
      </w:r>
      <w:r>
        <w:rPr>
          <w:sz w:val="24"/>
          <w:szCs w:val="20"/>
          <w:lang w:val="x-none" w:eastAsia="en-US" w:bidi="ar-SA"/>
        </w:rPr>
        <w:br/>
        <w:t>oraz Ministerstwa Finansów  w sprawie stosowania przepisów o pomocy publicznej w zakresie podatków i opłat lokalnych, podatku rolnego i leśnego w 2005 r. , różnicowanie stawek podatkowych na podstawie ustawy z dnia 12 stycznia 1991 r. o poda</w:t>
      </w:r>
      <w:r>
        <w:rPr>
          <w:sz w:val="24"/>
          <w:szCs w:val="20"/>
          <w:lang w:val="x-none" w:eastAsia="en-US" w:bidi="ar-SA"/>
        </w:rPr>
        <w:t xml:space="preserve">tkach i opłatach lokalnych, nie stanowi pomocy publicznej w rozumieniu art. 107 ust. 1 TFUE, pod warunkiem, że takie rozwiązania mają charakter systemowy tj. </w:t>
      </w:r>
      <w:r>
        <w:rPr>
          <w:sz w:val="24"/>
          <w:szCs w:val="20"/>
          <w:u w:val="single"/>
          <w:lang w:val="x-none" w:eastAsia="en-US" w:bidi="ar-SA"/>
        </w:rPr>
        <w:t>stanowią one integralny element lokalnego systemu opodatkowania, a ich celem nie jest udzielanie p</w:t>
      </w:r>
      <w:r>
        <w:rPr>
          <w:sz w:val="24"/>
          <w:szCs w:val="20"/>
          <w:u w:val="single"/>
          <w:lang w:val="x-none" w:eastAsia="en-US" w:bidi="ar-SA"/>
        </w:rPr>
        <w:t>omocy konkretnym przedsiębiorcom, czy też wspieranie konkretnych rodzajów działalności gospodarczej</w:t>
      </w:r>
      <w:r>
        <w:rPr>
          <w:sz w:val="24"/>
          <w:szCs w:val="20"/>
          <w:lang w:val="x-none" w:eastAsia="en-US" w:bidi="ar-SA"/>
        </w:rPr>
        <w:t xml:space="preserve">. Zgodnie z art. 26 ustawy z dnia 4 lutego 2011 r. o opiece nad dziećmi w wieku do lat 3 (Dz. U. z 2020 r., poz. 326 z </w:t>
      </w:r>
      <w:proofErr w:type="spellStart"/>
      <w:r>
        <w:rPr>
          <w:sz w:val="24"/>
          <w:szCs w:val="20"/>
          <w:lang w:val="x-none" w:eastAsia="en-US" w:bidi="ar-SA"/>
        </w:rPr>
        <w:t>późn</w:t>
      </w:r>
      <w:proofErr w:type="spellEnd"/>
      <w:r>
        <w:rPr>
          <w:sz w:val="24"/>
          <w:szCs w:val="20"/>
          <w:lang w:val="x-none" w:eastAsia="en-US" w:bidi="ar-SA"/>
        </w:rPr>
        <w:t>. zm.) prowadzenie żłobka lub klub</w:t>
      </w:r>
      <w:r>
        <w:rPr>
          <w:sz w:val="24"/>
          <w:szCs w:val="20"/>
          <w:lang w:val="x-none" w:eastAsia="en-US" w:bidi="ar-SA"/>
        </w:rPr>
        <w:t>u dziecięcego jest działalnością regulowaną w rozumieniu ustawy o swobodzie działalności gospodarczej i wymaga wpisu do rejestru żłobków i klubów dziecięcych. Jest więc to działalność gospodarcza, a w związku z tym nieruchomości będące w posiadaniu podmiot</w:t>
      </w:r>
      <w:r>
        <w:rPr>
          <w:sz w:val="24"/>
          <w:szCs w:val="20"/>
          <w:lang w:val="x-none" w:eastAsia="en-US" w:bidi="ar-SA"/>
        </w:rPr>
        <w:t>u ją prowadzącego (nie musi to być przedsiębiorca) należy opodatkować jako „związane z prowadzeniem działalności gospodarczej” w rozumieniu art. 1a ust. 1 pkt 3 ustawy o podatkach i opłatach lokalnych. Po analizie stanowiska Urzędu Ochrony Konkurencji i Ko</w:t>
      </w:r>
      <w:r>
        <w:rPr>
          <w:sz w:val="24"/>
          <w:szCs w:val="20"/>
          <w:lang w:val="x-none" w:eastAsia="en-US" w:bidi="ar-SA"/>
        </w:rPr>
        <w:t xml:space="preserve">nsumentów w odniesieniu do ustalenia niższej stawki podatku od nieruchomości w stosunku do budynków zajętych na prowadzenie działalności gospodarczej w zakresie prowadzenia żłobków i klubów dziecięcych, o których mowa w przepisie w  §  1 ust. 1 pkt 2 lit. </w:t>
      </w:r>
      <w:r>
        <w:rPr>
          <w:sz w:val="24"/>
          <w:szCs w:val="20"/>
          <w:lang w:val="x-none" w:eastAsia="en-US" w:bidi="ar-SA"/>
        </w:rPr>
        <w:t xml:space="preserve">b) projektu uchwały, uznano za zasadne przyjęcie, że konstrukcja polskiego systemu opieki nad dziećmi do lat 3 oparta na przepisach ustawy z dnia 4 lutego 2011r. o opiece nad dziećmi w wieku do lat 3 (Dz. U. z 2020 r., poz. 326 z późn.zm.) </w:t>
      </w:r>
      <w:r>
        <w:rPr>
          <w:sz w:val="24"/>
          <w:szCs w:val="20"/>
          <w:u w:val="single"/>
          <w:lang w:val="x-none" w:eastAsia="en-US" w:bidi="ar-SA"/>
        </w:rPr>
        <w:t>w praktyce wyklu</w:t>
      </w:r>
      <w:r>
        <w:rPr>
          <w:sz w:val="24"/>
          <w:szCs w:val="20"/>
          <w:u w:val="single"/>
          <w:lang w:val="x-none" w:eastAsia="en-US" w:bidi="ar-SA"/>
        </w:rPr>
        <w:t>cza transgraniczny charakter tej działalności (ma on zasięg stricte lokalny), brak jest bowiem zainteresowania ze strony obywateli zamieszkujących w innych państwach członkowskich do korzystania z opieki nad swoimi dziećmi w placówkach zlokalizowanych w Po</w:t>
      </w:r>
      <w:r>
        <w:rPr>
          <w:sz w:val="24"/>
          <w:szCs w:val="20"/>
          <w:u w:val="single"/>
          <w:lang w:val="x-none" w:eastAsia="en-US" w:bidi="ar-SA"/>
        </w:rPr>
        <w:t xml:space="preserve">lsce. </w:t>
      </w:r>
    </w:p>
    <w:p w:rsidR="00E8032C" w:rsidRDefault="00B071D1">
      <w:pPr>
        <w:rPr>
          <w:i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Jak słusznie wskazał UOKiK - ,,</w:t>
      </w:r>
      <w:r>
        <w:rPr>
          <w:i/>
          <w:sz w:val="24"/>
          <w:szCs w:val="20"/>
          <w:lang w:val="x-none" w:eastAsia="en-US" w:bidi="ar-SA"/>
        </w:rPr>
        <w:t xml:space="preserve">w tym kontekście należy zwrócić uwagę na decyzję Wysokiej Władzy EFTA w sprawie publicznego finansowania gminnych instytucji opieki nad dziećmi w Norwegii. Odnosząc się do przesłanki zakłócenia konkurencji oraz wpływu </w:t>
      </w:r>
      <w:r>
        <w:rPr>
          <w:i/>
          <w:sz w:val="24"/>
          <w:szCs w:val="20"/>
          <w:lang w:val="x-none" w:eastAsia="en-US" w:bidi="ar-SA"/>
        </w:rPr>
        <w:t xml:space="preserve">na wymianę handlową Wysoka Władza zwróciła uwagę, że </w:t>
      </w:r>
      <w:r>
        <w:rPr>
          <w:i/>
          <w:sz w:val="24"/>
          <w:szCs w:val="20"/>
          <w:u w:val="single"/>
          <w:lang w:val="x-none" w:eastAsia="en-US" w:bidi="ar-SA"/>
        </w:rPr>
        <w:t>gmina jest zobowiązana do zapewnienia opieki przedszkolnej nad dziećmi tylko dla jej mieszkańców i pokrywa jedynie koszty funkcjonowania ośrodków opieki w gminie</w:t>
      </w:r>
      <w:r>
        <w:rPr>
          <w:i/>
          <w:sz w:val="24"/>
          <w:szCs w:val="20"/>
          <w:lang w:val="x-none" w:eastAsia="en-US" w:bidi="ar-SA"/>
        </w:rPr>
        <w:t>. Z drugiej strony stwierdzono, że w Norwe</w:t>
      </w:r>
      <w:r>
        <w:rPr>
          <w:i/>
          <w:sz w:val="24"/>
          <w:szCs w:val="20"/>
          <w:lang w:val="x-none" w:eastAsia="en-US" w:bidi="ar-SA"/>
        </w:rPr>
        <w:t>gii nie ma podmiotów zagranicznych oferujących tego rodzaju świadczenia. Władza uznała także za mało prawdopodobne zainteresowanie zagranicznych podmiotów świadczeniem ww. opieki w Norwegii, ze względu na ograniczenie maksymalnych stawek wpłat rodziców ora</w:t>
      </w:r>
      <w:r>
        <w:rPr>
          <w:i/>
          <w:sz w:val="24"/>
          <w:szCs w:val="20"/>
          <w:lang w:val="x-none" w:eastAsia="en-US" w:bidi="ar-SA"/>
        </w:rPr>
        <w:t>z ograniczenie zobowiązań gmin do pokrycia ze środków publicznych tylko poniesionych kosztów funkcjonowania niepublicznych ośrodków opieki nad dzieckiem, w wysokości nieprzekraczającej kosztów ponoszonych przez podobne ośrodki nad dziećmi, których właścici</w:t>
      </w:r>
      <w:r>
        <w:rPr>
          <w:i/>
          <w:sz w:val="24"/>
          <w:szCs w:val="20"/>
          <w:lang w:val="x-none" w:eastAsia="en-US" w:bidi="ar-SA"/>
        </w:rPr>
        <w:t>elem jest gmina. W związku z powyższym, Władza uznała, iż przedmiotowe wsparcie nie dotyczy działalności gospodarczej (publiczne placówki opieki przedszkolnej nie są przedsiębiorstwami) i nie wpłynie na wymianę handlową, a tym samym nie stanowi pomocy publ</w:t>
      </w:r>
      <w:r>
        <w:rPr>
          <w:i/>
          <w:sz w:val="24"/>
          <w:szCs w:val="20"/>
          <w:lang w:val="x-none" w:eastAsia="en-US" w:bidi="ar-SA"/>
        </w:rPr>
        <w:t xml:space="preserve">icznej.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 związku z powyższym, w tym podzielając ocenę UOKiK uznano, że ustalenie przez Gminę Nieporęt niższej stawki podatku od nieruchomości w stosunku do budynków zajętych na prowadzenie żłobków i klubów dziecięcych nie grozi zakłóceniem konkurencji or</w:t>
      </w:r>
      <w:r>
        <w:rPr>
          <w:sz w:val="24"/>
          <w:szCs w:val="20"/>
          <w:lang w:val="x-none" w:eastAsia="en-US" w:bidi="ar-SA"/>
        </w:rPr>
        <w:t xml:space="preserve">az nie wpływa na wymianę handlową między państwami członkowskimi i tym samym nie stanowi pomocy publicznej w rozumieniu art. 107 ust.1 TFUE". </w:t>
      </w:r>
    </w:p>
    <w:p w:rsidR="00E8032C" w:rsidRDefault="00E8032C">
      <w:pPr>
        <w:rPr>
          <w:sz w:val="24"/>
          <w:szCs w:val="20"/>
          <w:lang w:val="x-none" w:eastAsia="en-US" w:bidi="ar-SA"/>
        </w:rPr>
      </w:pPr>
    </w:p>
    <w:p w:rsidR="00E8032C" w:rsidRDefault="00B071D1">
      <w:pPr>
        <w:rPr>
          <w:sz w:val="24"/>
          <w:szCs w:val="20"/>
          <w:u w:val="single"/>
          <w:lang w:val="x-none" w:eastAsia="en-US" w:bidi="ar-SA"/>
        </w:rPr>
      </w:pPr>
      <w:r>
        <w:rPr>
          <w:sz w:val="24"/>
          <w:szCs w:val="20"/>
          <w:u w:val="single"/>
          <w:lang w:val="x-none" w:eastAsia="en-US" w:bidi="ar-SA"/>
        </w:rPr>
        <w:t>Zbiorowe zaopatrzenie w wodę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art. 2 pkt 21  ustawy z dnia 7 czerwca 2001 r. o zbiorowym zaopatrzeniu w wodę </w:t>
      </w:r>
      <w:r>
        <w:rPr>
          <w:sz w:val="24"/>
          <w:szCs w:val="20"/>
          <w:lang w:val="x-none" w:eastAsia="en-US" w:bidi="ar-SA"/>
        </w:rPr>
        <w:br/>
        <w:t xml:space="preserve">i zbiorowym odprowadzaniu ścieków (Dz. U. z 2019 r. poz. 1437 z </w:t>
      </w:r>
      <w:proofErr w:type="spellStart"/>
      <w:r>
        <w:rPr>
          <w:sz w:val="24"/>
          <w:szCs w:val="20"/>
          <w:lang w:val="x-none" w:eastAsia="en-US" w:bidi="ar-SA"/>
        </w:rPr>
        <w:t>późn</w:t>
      </w:r>
      <w:proofErr w:type="spellEnd"/>
      <w:r>
        <w:rPr>
          <w:sz w:val="24"/>
          <w:szCs w:val="20"/>
          <w:lang w:val="x-none" w:eastAsia="en-US" w:bidi="ar-SA"/>
        </w:rPr>
        <w:t>. zm.) - przez zbiorowe zaopatrzenie w wodę,  rozumie się działalność polegającą na ujmowaniu, uzd</w:t>
      </w:r>
      <w:r>
        <w:rPr>
          <w:sz w:val="24"/>
          <w:szCs w:val="20"/>
          <w:lang w:val="x-none" w:eastAsia="en-US" w:bidi="ar-SA"/>
        </w:rPr>
        <w:t>atnianiu i dostarczaniu wody, prowadzoną przez przedsiębiorstwo wodociągowo-kanalizacyjne.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art. 2 pkt 16 w/w ustawy budowle - urządzenia wodociągowe - to ujęcia wód powierzchniowych i podziemnych, studnie publiczne, urządzenia służące do magazyno</w:t>
      </w:r>
      <w:r>
        <w:rPr>
          <w:sz w:val="24"/>
          <w:szCs w:val="20"/>
          <w:lang w:val="x-none" w:eastAsia="en-US" w:bidi="ar-SA"/>
        </w:rPr>
        <w:t xml:space="preserve">wania </w:t>
      </w:r>
      <w:r>
        <w:rPr>
          <w:sz w:val="24"/>
          <w:szCs w:val="20"/>
          <w:lang w:val="x-none" w:eastAsia="en-US" w:bidi="ar-SA"/>
        </w:rPr>
        <w:br/>
        <w:t>i uzdatniania wód, sieci wodociągowe, urządzenia regulujące ciśnienie wody.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lastRenderedPageBreak/>
        <w:t>Działalność w zakresie zbiorowego zaopatrzenia w wodę prowadzą przedsiębiorstwa wodociągowo</w:t>
      </w:r>
      <w:r>
        <w:rPr>
          <w:sz w:val="24"/>
          <w:szCs w:val="20"/>
        </w:rPr>
        <w:t>-</w:t>
      </w:r>
      <w:r>
        <w:rPr>
          <w:sz w:val="24"/>
          <w:szCs w:val="20"/>
          <w:lang w:val="x-none" w:eastAsia="en-US" w:bidi="ar-SA"/>
        </w:rPr>
        <w:t>kanalizacyjne, którymi zgodnie z art. 2 pkt 4 wyżej powołanej ustawy są przedsięb</w:t>
      </w:r>
      <w:r>
        <w:rPr>
          <w:sz w:val="24"/>
          <w:szCs w:val="20"/>
          <w:lang w:val="x-none" w:eastAsia="en-US" w:bidi="ar-SA"/>
        </w:rPr>
        <w:t>iorcy w rozumieniu przepisów o swobodzie działalności gospodarczej, jeżeli prowadzą działalność gospodarczą w zakresie zbiorowego zaopatrzenia w wodę lub zbiorowego odprowadzania ścieków, oraz gminne jednostki organizacyjne nieposiadające osobowości prawne</w:t>
      </w:r>
      <w:r>
        <w:rPr>
          <w:sz w:val="24"/>
          <w:szCs w:val="20"/>
          <w:lang w:val="x-none" w:eastAsia="en-US" w:bidi="ar-SA"/>
        </w:rPr>
        <w:t>j, prowadzące tego rodzaju działalność.</w:t>
      </w:r>
    </w:p>
    <w:p w:rsidR="00E8032C" w:rsidRDefault="00B071D1">
      <w:pPr>
        <w:rPr>
          <w:color w:val="FF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art. 7 ust. 1 pkt 3 ustawy z dnia 8 marca 1990 r. o samorządzie gminnym (Dz. U. z 2020 r. poz. 713 z </w:t>
      </w:r>
      <w:proofErr w:type="spellStart"/>
      <w:r>
        <w:rPr>
          <w:sz w:val="24"/>
          <w:szCs w:val="20"/>
          <w:lang w:val="x-none" w:eastAsia="en-US" w:bidi="ar-SA"/>
        </w:rPr>
        <w:t>późn</w:t>
      </w:r>
      <w:proofErr w:type="spellEnd"/>
      <w:r>
        <w:rPr>
          <w:sz w:val="24"/>
          <w:szCs w:val="20"/>
          <w:lang w:val="x-none" w:eastAsia="en-US" w:bidi="ar-SA"/>
        </w:rPr>
        <w:t>. zm.) – sprawy wodociągów i zaopatrzenia w wodę (…) należą do zadań własnych gminy. Potwierdzeniem n</w:t>
      </w:r>
      <w:r>
        <w:rPr>
          <w:sz w:val="24"/>
          <w:szCs w:val="20"/>
          <w:lang w:val="x-none" w:eastAsia="en-US" w:bidi="ar-SA"/>
        </w:rPr>
        <w:t>ałożenia na gminę obowiązków w zakresie zbiorowego zaopatrzenia w wodę jest art. 3 ust. 1  ustawy o zbiorowym zaopatrzeniu w wodę i zbiorowym odprowadzaniu ścieków, który stanowi, że zbiorowe zaopatrzenie w wodę i zbiorowe odprowadzanie ścieków jest zadani</w:t>
      </w:r>
      <w:r>
        <w:rPr>
          <w:sz w:val="24"/>
          <w:szCs w:val="20"/>
          <w:lang w:val="x-none" w:eastAsia="en-US" w:bidi="ar-SA"/>
        </w:rPr>
        <w:t>em własnym gminy. Wyżej wymienione zadanie gmina Nieporęt realizuje za pośrednictwem gminnej sieci wodociągowej eksploatowanej przez działający w formie zakładu budżetowego - Gminny Zakład Komunalny w Nieporęcie, zwany dalej GZK.  Mieszkańcy nie korzystają</w:t>
      </w:r>
      <w:r>
        <w:rPr>
          <w:sz w:val="24"/>
          <w:szCs w:val="20"/>
          <w:lang w:val="x-none" w:eastAsia="en-US" w:bidi="ar-SA"/>
        </w:rPr>
        <w:t>cy z gminnej sieci wodociągowej zaopatrują się w wodę z ujęć własnych.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Działalność w zakresie dostarczania wody polega na oferowaniu na rynku usług i stanowi działalność gospodarczą w rozumieniu prawa unijnego, i co do zasady działalność ta ma charakter mo</w:t>
      </w:r>
      <w:r>
        <w:rPr>
          <w:sz w:val="24"/>
          <w:szCs w:val="20"/>
          <w:lang w:val="x-none" w:eastAsia="en-US" w:bidi="ar-SA"/>
        </w:rPr>
        <w:t>nopolu naturalnego.  Pojęcie „monopol naturalny” nie jest zdefiniowane ani w prawie Unii Europejskiej ani w prawie polskim. Z tego powodu należy odwołać się do określenia ekonomicznego. Monopol naturalny polega na tym, że źródłem wyłączności na działalność</w:t>
      </w:r>
      <w:r>
        <w:rPr>
          <w:sz w:val="24"/>
          <w:szCs w:val="20"/>
          <w:lang w:val="x-none" w:eastAsia="en-US" w:bidi="ar-SA"/>
        </w:rPr>
        <w:t xml:space="preserve"> danego podmiotu w danym zakresie są warunki prowadzenia racjonalnej działalności gospodarczej, sprawiające, że jest ona wyłącznością jednego podmiotu (przedsiębiorcy), gdyż działalność innego podmiotu gospodarczego na tzw. rynku relewantnym jest wyłączona</w:t>
      </w:r>
      <w:r>
        <w:rPr>
          <w:sz w:val="24"/>
          <w:szCs w:val="20"/>
          <w:lang w:val="x-none" w:eastAsia="en-US" w:bidi="ar-SA"/>
        </w:rPr>
        <w:t xml:space="preserve"> w świetle przyjętych kryteriów wyznaczających racjonalność działalności gospodarczej.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definicją zawartą w Słowniku Języka Polskiego monopolista naturalny 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to przedsiębiorstwo lub grupa przedsiębiorstw decydująca o produkcji i cenie jakiegoś tow</w:t>
      </w:r>
      <w:r>
        <w:rPr>
          <w:sz w:val="24"/>
          <w:szCs w:val="20"/>
          <w:lang w:val="x-none" w:eastAsia="en-US" w:bidi="ar-SA"/>
        </w:rPr>
        <w:t xml:space="preserve">aru lub usługi i przez to mająca wpływ na to, czy jest ona dostępna dla kupujących. Podobnie zdefiniowany został monopol naturalny przez Urząd Ochrony Konkurencji i Konsumentów, który określa tym pojęciem sytuację, w której ze względów ekonomicznych tylko </w:t>
      </w:r>
      <w:r>
        <w:rPr>
          <w:sz w:val="24"/>
          <w:szCs w:val="20"/>
          <w:lang w:val="x-none" w:eastAsia="en-US" w:bidi="ar-SA"/>
        </w:rPr>
        <w:t>jeden przedsiębiorca może wytwarzać dane dobro (towar)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efektywniej niż kilku konkurencyjnych przedsiębiorców; występuje on najczęściej w postaci monopolu sieciowego związanego z istnieniem określonej infrastruktury technicznej; przykłady: dostawa energii e</w:t>
      </w:r>
      <w:r>
        <w:rPr>
          <w:sz w:val="24"/>
          <w:szCs w:val="20"/>
          <w:lang w:val="x-none" w:eastAsia="en-US" w:bidi="ar-SA"/>
        </w:rPr>
        <w:t xml:space="preserve">lektrycznej, wody, gazu ziemnego, czy transport kolejowy 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Sieć wodno-kanalizacyjna to infrastruktura, której budowa i utrzymanie jest wysoce kapitałochłonne. Działalność w zakresie obsługi i zarządzania taką infrastrukturą ma charakter „monopolu naturaln</w:t>
      </w:r>
      <w:r>
        <w:rPr>
          <w:sz w:val="24"/>
          <w:szCs w:val="20"/>
          <w:lang w:val="x-none" w:eastAsia="en-US" w:bidi="ar-SA"/>
        </w:rPr>
        <w:t>ego”. Oznacza to, że warunki i specyfika działalności gospodarczej sprawiają, że na określonym terenie może być ona prowadzona wyłącznie przez jeden podmiot, ponieważ ewentualne funkcjonowanie innego podmiotu jest z punktu widzenia racjonalności gospodarcz</w:t>
      </w:r>
      <w:r>
        <w:rPr>
          <w:sz w:val="24"/>
          <w:szCs w:val="20"/>
          <w:lang w:val="x-none" w:eastAsia="en-US" w:bidi="ar-SA"/>
        </w:rPr>
        <w:t>ej wyłączone i technicznie niemożliwe. Można więc stwierdzić, iż w zakresie tej działalności nie istnieje konkurencja. Ponadto, co do zasady, infrastruktura ta użytkowana jest przez przedsiębiorcę, nad którego działalnością pełną kontrolę sprawuje gmina. J</w:t>
      </w:r>
      <w:r>
        <w:rPr>
          <w:sz w:val="24"/>
          <w:szCs w:val="20"/>
          <w:lang w:val="x-none" w:eastAsia="en-US" w:bidi="ar-SA"/>
        </w:rPr>
        <w:t>eżeli zatem dany podmiot prowadzi wyłącznie działalność na rynku lokalnym, można stwierdzić, iż wspieranie działań w zakresie omówionej działalności nie zakłóca lub nie grozi zakłóceniem konkurencji, tym bardziej wsparcie to nie będzie mieć wpływu na wymia</w:t>
      </w:r>
      <w:r>
        <w:rPr>
          <w:sz w:val="24"/>
          <w:szCs w:val="20"/>
          <w:lang w:val="x-none" w:eastAsia="en-US" w:bidi="ar-SA"/>
        </w:rPr>
        <w:t xml:space="preserve">nę handlową pomiędzy państwami członkowskimi. </w:t>
      </w:r>
    </w:p>
    <w:p w:rsidR="00E8032C" w:rsidRDefault="00B071D1">
      <w:pPr>
        <w:spacing w:before="24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 ramach swoich zadań statutowych GZK oprócz usług w zakresie zbiorowego zaopatrzenia w wodę  – administruje zasobem mieszkaniowym gminy Nieporęt oraz utrzymuje porządek na terenach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gminnych. Działalność w pow</w:t>
      </w:r>
      <w:r>
        <w:rPr>
          <w:sz w:val="24"/>
          <w:szCs w:val="20"/>
          <w:lang w:val="x-none" w:eastAsia="en-US" w:bidi="ar-SA"/>
        </w:rPr>
        <w:t>yższym zakresie inaczej niż działalność w zakresie zbiorowego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zaopatrzenia w wodę – ma charakter konkurencyjny. W przypadku GZK wykluczyć można subsydiowanie krzyżowe pomiędzy prowadzonymi działalnościami. Działalność GZK oparta jest na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rocznym planie </w:t>
      </w:r>
      <w:r>
        <w:rPr>
          <w:sz w:val="24"/>
          <w:szCs w:val="20"/>
          <w:lang w:val="x-none" w:eastAsia="en-US" w:bidi="ar-SA"/>
        </w:rPr>
        <w:t>finansowym, który to plan uwzględnia odrębną ewidencję każdego rodzaju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działalności.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We wspomnianym planie finansowym każdy rodzaj działalności jest wyraźnie oddzielony pod względem finansowym (koszty i przychody). Przypisane koszty i przychody do poszcze</w:t>
      </w:r>
      <w:r>
        <w:rPr>
          <w:sz w:val="24"/>
          <w:szCs w:val="20"/>
          <w:lang w:val="x-none" w:eastAsia="en-US" w:bidi="ar-SA"/>
        </w:rPr>
        <w:t xml:space="preserve">gólnych </w:t>
      </w:r>
      <w:r>
        <w:rPr>
          <w:sz w:val="24"/>
          <w:szCs w:val="20"/>
          <w:lang w:val="x-none" w:eastAsia="en-US" w:bidi="ar-SA"/>
        </w:rPr>
        <w:lastRenderedPageBreak/>
        <w:t>rodzajów działalności uniemożliwiają subsydiowanie skrośne tj. pokrywanie kosztów jednego rodzaju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prowadzonej działalności przychodem z innego rodzaju działalności, co oznacza, że nie występuje krzyżowe dotowanie działalności.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Niezależnie od powyż</w:t>
      </w:r>
      <w:r>
        <w:rPr>
          <w:sz w:val="24"/>
          <w:szCs w:val="20"/>
          <w:lang w:val="x-none" w:eastAsia="en-US" w:bidi="ar-SA"/>
        </w:rPr>
        <w:t>szego, na terenie gminy Nieporęt zlokalizowana jest ponadto sieć wodociągowa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– przesyłowa, stanowiąca własność Miejskiego Przedsiębiorstwa Wodociągów i Kanalizacji w m. st. Warszawie Spółka Akcyjna, zwana dalej „MPWiK”, które to przedsiębiorstwo na bazie w</w:t>
      </w:r>
      <w:r>
        <w:rPr>
          <w:sz w:val="24"/>
          <w:szCs w:val="20"/>
          <w:lang w:val="x-none" w:eastAsia="en-US" w:bidi="ar-SA"/>
        </w:rPr>
        <w:t xml:space="preserve">skazanej wyżej sieci, prowadzi usługi w zakresie zbiorowego zaopatrzenia w wodę poza terenem gminy Nieporęt oraz zgodnie ze Statutem tej Spółki usługi dodatkowe - sprzedaż piasku, usługi transportowe, dostawę wody beczkowozem.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 przypadku MPWiK - spółka a</w:t>
      </w:r>
      <w:r>
        <w:rPr>
          <w:sz w:val="24"/>
          <w:szCs w:val="20"/>
          <w:lang w:val="x-none" w:eastAsia="en-US" w:bidi="ar-SA"/>
        </w:rPr>
        <w:t xml:space="preserve">kcyjna/ przedsiębiorstwo prowadzące dodatkowe usługi -  nie można wykluczyć subsydiowania krzyżowego pomiędzy prowadzonymi działalnościami. 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 uwagi na powyższe przyjęto, że pomimo iż działalność (usługi) w zakresie zbiorowego zaopatrzenia w wodę, prowadzo</w:t>
      </w:r>
      <w:r>
        <w:rPr>
          <w:sz w:val="24"/>
          <w:szCs w:val="20"/>
          <w:lang w:val="x-none" w:eastAsia="en-US" w:bidi="ar-SA"/>
        </w:rPr>
        <w:t>ną przez GZK w Nieporęcie można by było uznać za działalność w  warunkach monopolu naturalnego, co do której stawka preferencyjna nie stanowiłaby pomocy publicznej, to z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uwagi na istnienie na terenie Gminy Nieporęt sieci wodociągowej - przesyłowej, eksploa</w:t>
      </w:r>
      <w:r>
        <w:rPr>
          <w:sz w:val="24"/>
          <w:szCs w:val="20"/>
          <w:lang w:val="x-none" w:eastAsia="en-US" w:bidi="ar-SA"/>
        </w:rPr>
        <w:t>towanej przez Spółkę MPWiK w Warszawie i wskazane wyżej uwarunkowania związane z działalnością tej Spółki – należy uznać, że zastosowanie stawki preferencyjnej będzie miało w tym przypadku wpływ na konkurencyjność na rynku ponadlokalnym,  a tym samym będzi</w:t>
      </w:r>
      <w:r>
        <w:rPr>
          <w:sz w:val="24"/>
          <w:szCs w:val="20"/>
          <w:lang w:val="x-none" w:eastAsia="en-US" w:bidi="ar-SA"/>
        </w:rPr>
        <w:t xml:space="preserve">e stanowiło pomoc publiczną (de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). </w:t>
      </w:r>
    </w:p>
    <w:p w:rsidR="00E8032C" w:rsidRDefault="00E8032C">
      <w:pPr>
        <w:rPr>
          <w:sz w:val="24"/>
          <w:szCs w:val="20"/>
          <w:lang w:val="x-none" w:eastAsia="en-US" w:bidi="ar-SA"/>
        </w:rPr>
      </w:pP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art. 40 ust. 1 ustawy o samorządzie gminnym (Dz. U. z 2020 r. poz. 713 z </w:t>
      </w:r>
      <w:proofErr w:type="spellStart"/>
      <w:r>
        <w:rPr>
          <w:sz w:val="24"/>
          <w:szCs w:val="20"/>
          <w:lang w:val="x-none" w:eastAsia="en-US" w:bidi="ar-SA"/>
        </w:rPr>
        <w:t>późn</w:t>
      </w:r>
      <w:proofErr w:type="spellEnd"/>
      <w:r>
        <w:rPr>
          <w:sz w:val="24"/>
          <w:szCs w:val="20"/>
          <w:lang w:val="x-none" w:eastAsia="en-US" w:bidi="ar-SA"/>
        </w:rPr>
        <w:t>. zm.) na podstawie upoważnień ustawowych gminie przysługuje prawo stanowienia aktów prawa miejscowego obowiązujących na obsz</w:t>
      </w:r>
      <w:r>
        <w:rPr>
          <w:sz w:val="24"/>
          <w:szCs w:val="20"/>
          <w:lang w:val="x-none" w:eastAsia="en-US" w:bidi="ar-SA"/>
        </w:rPr>
        <w:t>arze gminy.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art. 41 ust. 1 wyżej powołanej ustawy akty prawa miejscowego ustanawia rada gminy w formie uchwały.</w:t>
      </w: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W związku z okolicznością, iż różnicowanie stawek podatku od nieruchomości zawarte </w:t>
      </w:r>
      <w:r>
        <w:rPr>
          <w:sz w:val="24"/>
          <w:szCs w:val="20"/>
          <w:lang w:val="x-none" w:eastAsia="en-US" w:bidi="ar-SA"/>
        </w:rPr>
        <w:br/>
        <w:t>w projekcie uchwały ze względu na wprowadzenie pre</w:t>
      </w:r>
      <w:r>
        <w:rPr>
          <w:sz w:val="24"/>
          <w:szCs w:val="20"/>
          <w:lang w:val="x-none" w:eastAsia="en-US" w:bidi="ar-SA"/>
        </w:rPr>
        <w:t>ferencyjnej stawki dla budowli związanych z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prowadzeniem działalności w zakresie zbiorowego zaopatrzenia w wodę w rozumieniu ustawy z dnia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7 czerwca 2001 r. o zbiorowym zaopatrzeniu w wodę i zbiorowym odprowadzaniu ścieków (Dz. U. z 2019, poz. 1437 z </w:t>
      </w:r>
      <w:proofErr w:type="spellStart"/>
      <w:r>
        <w:rPr>
          <w:sz w:val="24"/>
          <w:szCs w:val="20"/>
          <w:lang w:val="x-none" w:eastAsia="en-US" w:bidi="ar-SA"/>
        </w:rPr>
        <w:t>późn</w:t>
      </w:r>
      <w:proofErr w:type="spellEnd"/>
      <w:r>
        <w:rPr>
          <w:sz w:val="24"/>
          <w:szCs w:val="20"/>
          <w:lang w:val="x-none" w:eastAsia="en-US" w:bidi="ar-SA"/>
        </w:rPr>
        <w:t>.</w:t>
      </w:r>
      <w:r>
        <w:rPr>
          <w:sz w:val="24"/>
          <w:szCs w:val="20"/>
          <w:lang w:val="x-none" w:eastAsia="en-US" w:bidi="ar-SA"/>
        </w:rPr>
        <w:t xml:space="preserve"> zm.) zostało uznane za pomoc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>, projekt uchwały w powyższym zakresie opracowano w oparciu o przepisy rozporządzenia Komisji (UE) Nr 1407/2013 z dnia 18 grudnia 2013 r. w sprawie stosowania art. 107 i 108 Traktatu o funkcjonowaniu Unii Europejskie</w:t>
      </w:r>
      <w:r>
        <w:rPr>
          <w:sz w:val="24"/>
          <w:szCs w:val="20"/>
          <w:lang w:val="x-none" w:eastAsia="en-US" w:bidi="ar-SA"/>
        </w:rPr>
        <w:t xml:space="preserve">j do pomocy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(Dz. Urz. UE L 352 z 24.12.2013, L 215 z 07.07.2020). </w:t>
      </w:r>
    </w:p>
    <w:p w:rsidR="00E8032C" w:rsidRDefault="00E8032C">
      <w:pPr>
        <w:rPr>
          <w:sz w:val="24"/>
          <w:szCs w:val="20"/>
          <w:lang w:val="x-none" w:eastAsia="en-US" w:bidi="ar-SA"/>
        </w:rPr>
      </w:pPr>
    </w:p>
    <w:p w:rsidR="00E8032C" w:rsidRDefault="00B071D1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art. 7 ust. 3 ustawy z dnia 30 kwietnia 2004 r. o postępowaniu w sprawach dotyczących pomocy publicznej (Dz. U. z 2020 r. poz.  708) projekt programu pomocowego przewi</w:t>
      </w:r>
      <w:r>
        <w:rPr>
          <w:sz w:val="24"/>
          <w:szCs w:val="20"/>
          <w:lang w:val="x-none" w:eastAsia="en-US" w:bidi="ar-SA"/>
        </w:rPr>
        <w:t xml:space="preserve">dujący udzielanie pomocy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podlega zgłoszeniu Prezesowi Urzędu Ochrony Konkurencji i Konsumentów, który w terminie 14 dni może przedstawić zastrzeżenia dotyczące przejrzystości zasad udzielania pomocy. Wójt Gminy przesłał projekt uchwały do Prezes</w:t>
      </w:r>
      <w:r>
        <w:rPr>
          <w:sz w:val="24"/>
          <w:szCs w:val="20"/>
          <w:lang w:val="x-none" w:eastAsia="en-US" w:bidi="ar-SA"/>
        </w:rPr>
        <w:t xml:space="preserve">a UOKiK. Prezes UOKiK nie wniósł zastrzeżeń do jej treści w </w:t>
      </w:r>
      <w:r w:rsidR="00705A9B">
        <w:rPr>
          <w:sz w:val="24"/>
          <w:szCs w:val="20"/>
          <w:lang w:val="x-none" w:eastAsia="en-US" w:bidi="ar-SA"/>
        </w:rPr>
        <w:t xml:space="preserve">związku </w:t>
      </w:r>
      <w:r>
        <w:rPr>
          <w:sz w:val="24"/>
          <w:szCs w:val="20"/>
          <w:lang w:val="x-none" w:eastAsia="en-US" w:bidi="ar-SA"/>
        </w:rPr>
        <w:t xml:space="preserve"> z planowanym </w:t>
      </w:r>
      <w:r w:rsidRPr="00705A9B">
        <w:rPr>
          <w:sz w:val="24"/>
          <w:szCs w:val="20"/>
          <w:lang w:val="x-none" w:eastAsia="en-US" w:bidi="ar-SA"/>
        </w:rPr>
        <w:t>udzieleniem pomocy.</w:t>
      </w:r>
    </w:p>
    <w:p w:rsidR="00E8032C" w:rsidRDefault="00E8032C">
      <w:pPr>
        <w:spacing w:before="120" w:after="120"/>
        <w:ind w:firstLine="227"/>
        <w:rPr>
          <w:color w:val="000000"/>
          <w:szCs w:val="20"/>
          <w:u w:color="000000"/>
          <w:lang w:val="x-none" w:eastAsia="en-US" w:bidi="ar-SA"/>
        </w:rPr>
      </w:pPr>
    </w:p>
    <w:p w:rsidR="00E8032C" w:rsidRDefault="00B071D1">
      <w:pPr>
        <w:spacing w:before="120" w:after="120"/>
        <w:ind w:firstLine="227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sporządziła: </w:t>
      </w:r>
      <w:proofErr w:type="spellStart"/>
      <w:r>
        <w:rPr>
          <w:color w:val="000000"/>
          <w:szCs w:val="20"/>
          <w:u w:color="000000"/>
          <w:lang w:val="x-none" w:eastAsia="en-US" w:bidi="ar-SA"/>
        </w:rPr>
        <w:t>E.Gera</w:t>
      </w:r>
      <w:proofErr w:type="spellEnd"/>
    </w:p>
    <w:sectPr w:rsidR="00E8032C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D1" w:rsidRDefault="00B071D1">
      <w:r>
        <w:separator/>
      </w:r>
    </w:p>
  </w:endnote>
  <w:endnote w:type="continuationSeparator" w:id="0">
    <w:p w:rsidR="00B071D1" w:rsidRDefault="00B0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032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32C" w:rsidRDefault="00B071D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32C" w:rsidRDefault="00E8032C">
          <w:pPr>
            <w:jc w:val="left"/>
            <w:rPr>
              <w:sz w:val="18"/>
            </w:rPr>
          </w:pPr>
        </w:p>
      </w:tc>
    </w:tr>
  </w:tbl>
  <w:p w:rsidR="00E8032C" w:rsidRDefault="00E803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032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32C" w:rsidRDefault="00B071D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032C" w:rsidRDefault="00E8032C">
          <w:pPr>
            <w:jc w:val="left"/>
            <w:rPr>
              <w:sz w:val="18"/>
            </w:rPr>
          </w:pPr>
        </w:p>
      </w:tc>
    </w:tr>
  </w:tbl>
  <w:p w:rsidR="00E8032C" w:rsidRDefault="00E803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D1" w:rsidRDefault="00B071D1">
      <w:r>
        <w:separator/>
      </w:r>
    </w:p>
  </w:footnote>
  <w:footnote w:type="continuationSeparator" w:id="0">
    <w:p w:rsidR="00B071D1" w:rsidRDefault="00B0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FA31889"/>
    <w:multiLevelType w:val="hybridMultilevel"/>
    <w:tmpl w:val="00000000"/>
    <w:lvl w:ilvl="0" w:tplc="DE482A76">
      <w:start w:val="1"/>
      <w:numFmt w:val="decimal"/>
      <w:lvlText w:val="%1)"/>
      <w:lvlJc w:val="left"/>
      <w:pPr>
        <w:ind w:left="720" w:hanging="360"/>
      </w:pPr>
    </w:lvl>
    <w:lvl w:ilvl="1" w:tplc="50EC03D4">
      <w:start w:val="1"/>
      <w:numFmt w:val="lowerLetter"/>
      <w:lvlText w:val="%2."/>
      <w:lvlJc w:val="left"/>
      <w:pPr>
        <w:ind w:left="1440" w:hanging="360"/>
      </w:pPr>
    </w:lvl>
    <w:lvl w:ilvl="2" w:tplc="53FC434C">
      <w:start w:val="1"/>
      <w:numFmt w:val="lowerRoman"/>
      <w:lvlText w:val="%3."/>
      <w:lvlJc w:val="right"/>
      <w:pPr>
        <w:ind w:left="2160" w:hanging="180"/>
      </w:pPr>
    </w:lvl>
    <w:lvl w:ilvl="3" w:tplc="27B4AB24">
      <w:start w:val="1"/>
      <w:numFmt w:val="decimal"/>
      <w:lvlText w:val="%4."/>
      <w:lvlJc w:val="left"/>
      <w:pPr>
        <w:ind w:left="2880" w:hanging="360"/>
      </w:pPr>
    </w:lvl>
    <w:lvl w:ilvl="4" w:tplc="3830EBEA">
      <w:start w:val="1"/>
      <w:numFmt w:val="lowerLetter"/>
      <w:lvlText w:val="%5."/>
      <w:lvlJc w:val="left"/>
      <w:pPr>
        <w:ind w:left="3600" w:hanging="360"/>
      </w:pPr>
    </w:lvl>
    <w:lvl w:ilvl="5" w:tplc="38B853AE">
      <w:start w:val="1"/>
      <w:numFmt w:val="lowerRoman"/>
      <w:lvlText w:val="%6."/>
      <w:lvlJc w:val="right"/>
      <w:pPr>
        <w:ind w:left="4320" w:hanging="180"/>
      </w:pPr>
    </w:lvl>
    <w:lvl w:ilvl="6" w:tplc="C2502C18">
      <w:start w:val="1"/>
      <w:numFmt w:val="decimal"/>
      <w:lvlText w:val="%7."/>
      <w:lvlJc w:val="left"/>
      <w:pPr>
        <w:ind w:left="5040" w:hanging="360"/>
      </w:pPr>
    </w:lvl>
    <w:lvl w:ilvl="7" w:tplc="0AEE8FF8">
      <w:start w:val="1"/>
      <w:numFmt w:val="lowerLetter"/>
      <w:lvlText w:val="%8."/>
      <w:lvlJc w:val="left"/>
      <w:pPr>
        <w:ind w:left="5760" w:hanging="360"/>
      </w:pPr>
    </w:lvl>
    <w:lvl w:ilvl="8" w:tplc="867EF7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05A9B"/>
    <w:rsid w:val="00A77B3E"/>
    <w:rsid w:val="00B071D1"/>
    <w:rsid w:val="00CA2A55"/>
    <w:rsid w:val="00CF7B03"/>
    <w:rsid w:val="00E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158A"/>
  <w15:docId w15:val="{95695764-6B66-4314-8E40-CF90921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4195</Words>
  <Characters>25176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stawek podatku od nieruchomości</dc:subject>
  <dc:creator>w.dzwonek</dc:creator>
  <cp:lastModifiedBy>Wiktoria Dzwonek</cp:lastModifiedBy>
  <cp:revision>3</cp:revision>
  <dcterms:created xsi:type="dcterms:W3CDTF">2020-11-09T13:51:00Z</dcterms:created>
  <dcterms:modified xsi:type="dcterms:W3CDTF">2020-11-09T13:51:00Z</dcterms:modified>
  <cp:category>Akt prawny</cp:category>
</cp:coreProperties>
</file>