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155A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155A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155A4">
      <w:pPr>
        <w:keepNext/>
        <w:spacing w:after="480"/>
        <w:jc w:val="center"/>
      </w:pPr>
      <w:r>
        <w:rPr>
          <w:b/>
        </w:rPr>
        <w:t>w sprawie rozpatrzenia skargi na Wójta Gminy Nieporęt</w:t>
      </w:r>
    </w:p>
    <w:p w:rsidR="00A77B3E" w:rsidRDefault="00A155A4">
      <w:pPr>
        <w:keepLines/>
        <w:spacing w:before="120" w:after="120"/>
        <w:ind w:firstLine="227"/>
      </w:pPr>
      <w:r>
        <w:t xml:space="preserve">Na podstawie art. 18 ust. 2 pkt 15 i art. 18b ust. 1 ustawy z dnia 8 marca 1990 r. o samorządzie gminnym (Dz. U. </w:t>
      </w:r>
      <w:r>
        <w:t>z 2020 r. poz. 713 ze zm.) w związku z art. 229 pkt. 3 i art. 234 pkt 1 ustawy z dnia 14 czerwca 1960 r. Kodeks postępowania administracyjnego (Dz. U. z 2020 r. poz. 256 ze zm.) Rada Gminy Nieporęt uchwala, co następuje:</w:t>
      </w:r>
    </w:p>
    <w:p w:rsidR="00A77B3E" w:rsidRDefault="00A155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Uznać za bezzasadną i załat</w:t>
      </w:r>
      <w:r>
        <w:t>wić negatywnie skargę z dnia 26 listopada 2020 r., złożoną do Rady Gminy Nieporęt w dniu 27 listopada 2020 r., zarejestrowaną w rejestrze skarg Rady Gminny Nieporęt pod numerem BG.1510.4.2020, w zakresie dotyczącym działania Urzędu Gminy w związku ze stoso</w:t>
      </w:r>
      <w:r>
        <w:t>waniem przepisów miejscowego planu zagospodarowania przestrzennego dla części obszaru sołectwa Józefów - rejon Kanału Bródnowskiego, w gminie Nieporęt, zakwalifikowaną jako skarga na Wójta Gminy.</w:t>
      </w:r>
    </w:p>
    <w:p w:rsidR="00A77B3E" w:rsidRDefault="00A155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dotyczącym postępowania administracyjnego z za</w:t>
      </w:r>
      <w:r>
        <w:rPr>
          <w:color w:val="000000"/>
          <w:u w:color="000000"/>
        </w:rPr>
        <w:t>kresu podziału nieruchomości, prowadzonego na wniosek Skarżącego, przekazać skargę Wójtowi Gminy Nieporęt według właściwości, zgodnie z art. 234 pkt 1 ustawy z dnia 14 czerwca 1960 r. Kodeks postępowania administracyjnego, jako podlegającą rozpatrzeniu w t</w:t>
      </w:r>
      <w:r>
        <w:rPr>
          <w:color w:val="000000"/>
          <w:u w:color="000000"/>
        </w:rPr>
        <w:t>oku prowadzonego postępowania administracyjnego.</w:t>
      </w:r>
    </w:p>
    <w:p w:rsidR="00A77B3E" w:rsidRDefault="00A155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Uzasadnienie sposobu załatwienia skargi stanowi załącznik do niniejszej uchwały.</w:t>
      </w:r>
    </w:p>
    <w:p w:rsidR="00A77B3E" w:rsidRDefault="00A155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Zobowiązać Przewodniczącą Rady Gminy Nieporęt do: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poinformowania Skarżącego o sposobie załatwienia skargi poprzez p</w:t>
      </w:r>
      <w:r>
        <w:rPr>
          <w:color w:val="000000"/>
          <w:u w:color="000000"/>
        </w:rPr>
        <w:t>rzesłanie Skarżącemu      niniejszej uchwały;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przekazania niniejszej uchwały oraz skargi zakresie, o którym mowa w § 1 ust. 2 Wójtowi Gminy Nieporęt do załatwienia w według właściwości.</w:t>
      </w:r>
    </w:p>
    <w:p w:rsidR="00A77B3E" w:rsidRDefault="00A155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2C7D2C" w:rsidRDefault="002C7D2C">
      <w:pPr>
        <w:keepLines/>
        <w:spacing w:before="120" w:after="120"/>
        <w:ind w:firstLine="340"/>
        <w:rPr>
          <w:color w:val="000000"/>
          <w:u w:color="000000"/>
        </w:rPr>
        <w:sectPr w:rsidR="002C7D2C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A155A4">
      <w:pPr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27 listopada 2020 r. do Rady Gminy Nieporęt wpłynęło pismo z dnia  26 </w:t>
      </w:r>
      <w:r>
        <w:rPr>
          <w:color w:val="000000"/>
          <w:u w:color="000000"/>
        </w:rPr>
        <w:t>listopada 2020 r., zatytułowane „Wniosek o porządek prawny”.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okoliczności, iż przedmiotowe pismo zawierało zarzut skierowany wobec Urzędu Gminy Nieporęt, skargę należało zakwalifikować jako skargę na kierownika Urzędu, którym jest Wójt Gminy Nieporęt</w:t>
      </w:r>
      <w:r>
        <w:rPr>
          <w:color w:val="000000"/>
          <w:u w:color="000000"/>
        </w:rPr>
        <w:t>. Skargę zarejestrowano w Biurze Rady pod numerem BG.1510.4.2020.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Zgodnie z art. 18b ust. 1 ustawy z dnia 8 marca 1990 r. o samorządzie gminnym  - </w:t>
      </w:r>
      <w:r>
        <w:rPr>
          <w:i/>
          <w:color w:val="000000"/>
          <w:u w:color="000000"/>
        </w:rPr>
        <w:t>rada gminy rozpatruje skargi na działania wójta i gminnych jednostek organizacyjnych; wnioski oraz petycje</w:t>
      </w:r>
      <w:r>
        <w:rPr>
          <w:i/>
          <w:color w:val="000000"/>
          <w:u w:color="000000"/>
        </w:rPr>
        <w:t xml:space="preserve"> składane przez obywateli; w tym celu powołuje komisję skarg, wniosków i petycji.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 Rady Gminy Nieporęt, po zapoznaniu się z treścią skargi oraz po przeprowadzeniu postępowania wyjaśniającego w sprawie objętej przedmiotem sk</w:t>
      </w:r>
      <w:r>
        <w:rPr>
          <w:color w:val="000000"/>
          <w:u w:color="000000"/>
        </w:rPr>
        <w:t>argi, w tym na podstawie wyjaśnień, przekazanych przez Wójta Gminy Nieporęt, a także na podstawie przedstawionej w sprawie dokumentacji ustaliła, co następuje: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skarga obejmuje zarzuty dotyczące postępowania w przedmiocie stosowania i interpretacji  prze</w:t>
      </w:r>
      <w:r>
        <w:rPr>
          <w:color w:val="000000"/>
          <w:u w:color="000000"/>
        </w:rPr>
        <w:t>pisów planu zagospodarowania i w tym zakresie podlega rozpatrzeniu przez Radę Gminy  Nieporęt;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skarga obejmuje także zarzuty dotyczące postępowania administracyjnego w indywidualnej sprawie z zakresu podziału nieruchomości, prowadzonej na wniosek Skarżą</w:t>
      </w:r>
      <w:r>
        <w:rPr>
          <w:color w:val="000000"/>
          <w:u w:color="000000"/>
        </w:rPr>
        <w:t>cego w Urzędzie Gminy Nieporęt i w tym zakresie nie podlega rozparzeniu w trybie art. 229 pkt 3 </w:t>
      </w:r>
      <w:proofErr w:type="spellStart"/>
      <w:r>
        <w:rPr>
          <w:color w:val="000000"/>
          <w:u w:color="000000"/>
        </w:rPr>
        <w:t>K.p.a</w:t>
      </w:r>
      <w:proofErr w:type="spellEnd"/>
      <w:r>
        <w:rPr>
          <w:color w:val="000000"/>
          <w:u w:color="000000"/>
        </w:rPr>
        <w:t>, a powinna być załatwiona w trybie art. 234 pkt 1 K.p.a., celem rozpatrzenia w toku prowadzonego postępowania administracyjnego.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</w:t>
      </w:r>
      <w:r>
        <w:rPr>
          <w:color w:val="000000"/>
          <w:u w:color="000000"/>
        </w:rPr>
        <w:t>K.p.a. - jeżeli przepisy szczególne nie określają innych organów właściwych do rozpatrywania skarg, organem właściwym do rozpatrzenia skargi dotyczącej zadań lub działalności: wójta jest - rada gminy;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234 pkt 1 K.p.a. - w sprawie, w której t</w:t>
      </w:r>
      <w:r>
        <w:rPr>
          <w:color w:val="000000"/>
          <w:u w:color="000000"/>
        </w:rPr>
        <w:t>oczy się postępowanie administracyjne: skarga złożona przez stronę podlega rozpatrzeniu w toku postępowania administracyjnego, zgodnie z przepisami kodeksu administracyjnego.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Wobec powyższego w zakresie wskazanym w pkt. 2 powyżej należało uznać, że skarg</w:t>
      </w:r>
      <w:r>
        <w:rPr>
          <w:color w:val="000000"/>
          <w:u w:color="000000"/>
        </w:rPr>
        <w:t>a podlega przekazaniu Wójtowi Gminy celem rozpatrzenia w toku prowadzonego postępowania administracyjnego</w:t>
      </w:r>
      <w:r>
        <w:rPr>
          <w:b/>
          <w:color w:val="000000"/>
          <w:u w:color="000000"/>
        </w:rPr>
        <w:t>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Odnosząc się do zarzutów skargi w zakresie działania Urzędu ustalono, co następuje: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zarzut wynikający z treści skargi w zakresie cyt. : „</w:t>
      </w:r>
      <w:r>
        <w:rPr>
          <w:b/>
          <w:i/>
          <w:color w:val="000000"/>
          <w:u w:color="000000"/>
        </w:rPr>
        <w:t xml:space="preserve">opis sprawy </w:t>
      </w:r>
      <w:r>
        <w:rPr>
          <w:b/>
          <w:i/>
          <w:color w:val="000000"/>
          <w:u w:color="000000"/>
        </w:rPr>
        <w:t xml:space="preserve">i przebieg procedowania  mojego wniosku: - 89 dni!!!” </w:t>
      </w:r>
      <w:r>
        <w:rPr>
          <w:color w:val="000000"/>
          <w:u w:color="000000"/>
        </w:rPr>
        <w:t xml:space="preserve">nie znajduje uzasadnienia.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 przeprowadzeniu postępowania wyjaśniającego w sprawie, ustalono, że w przedmiotowej sprawie wydanie decyzji nastąpiło po 40 dniach od złożenia kompletnego wniosku, a nie </w:t>
      </w:r>
      <w:r>
        <w:rPr>
          <w:color w:val="000000"/>
          <w:u w:color="000000"/>
        </w:rPr>
        <w:t>jak twierdzi Zainteresowany po 89 dniach. Decyzja na wniosek Skarżącego została wydana w terminie nie dłuższym niż 2 m-ce, a na czas trwania tego postępowania, istotny wpływ miał sam Wnioskodawca/Skarżący. Braki formalne wniosku – do czasu ich uzupełnienia</w:t>
      </w:r>
      <w:r>
        <w:rPr>
          <w:color w:val="000000"/>
          <w:u w:color="000000"/>
        </w:rPr>
        <w:t xml:space="preserve"> przez Skarżącego, stanowiły bowiem przeszkodę w podjęciu rozpoznania merytorycznego sprawy o podział nieruchomości w oparciu o art. 95 pkt 7 ustawy o gospodarce nieruchomościami. Uznano, że zarzuty Skarżącego w powyższym zakresie mogą wynikać z niezadowol</w:t>
      </w:r>
      <w:r>
        <w:rPr>
          <w:color w:val="000000"/>
          <w:u w:color="000000"/>
        </w:rPr>
        <w:t xml:space="preserve">enia z orzeczenia zawartego w decyzji, co do której Zainteresowany skorzystał z przysługującego zgodnie z przepisami </w:t>
      </w:r>
      <w:proofErr w:type="spellStart"/>
      <w:r>
        <w:rPr>
          <w:color w:val="000000"/>
          <w:u w:color="000000"/>
        </w:rPr>
        <w:t>K.p.a</w:t>
      </w:r>
      <w:proofErr w:type="spellEnd"/>
      <w:r>
        <w:rPr>
          <w:color w:val="000000"/>
          <w:u w:color="000000"/>
        </w:rPr>
        <w:t xml:space="preserve"> prawa odwołania – zgodnie z zasadą instancyjnej kontroli decyzji administracyjnych.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okoliczności jak wyżej rozpatrzenie wszelki</w:t>
      </w:r>
      <w:r>
        <w:rPr>
          <w:color w:val="000000"/>
          <w:u w:color="000000"/>
        </w:rPr>
        <w:t xml:space="preserve">ch zarzutów w kwestii zaskarżonego rozstrzygnięcia należy do właściwości Organu II Instancji, którym jest Samorządowe Kolegium Odwoławcze w Warszawie. Należy tylko nadmienić, że sprawy podziałów niezależnie od ustaleń planu z art. 95 pkt 7 należą do spraw </w:t>
      </w:r>
      <w:r>
        <w:rPr>
          <w:color w:val="000000"/>
          <w:u w:color="000000"/>
        </w:rPr>
        <w:t>o szczególnie skomplikowanym charakterze, wymagających wnikliwej analizy stanu faktycznego i prawnego sprawy, stanowią bowiem wyjątek od generalnej zasady wyrażonej w art. 93 ustawy o gospodarce nieruchomościami, zgodnie z którą podziału nieruchomości możn</w:t>
      </w:r>
      <w:r>
        <w:rPr>
          <w:color w:val="000000"/>
          <w:u w:color="000000"/>
        </w:rPr>
        <w:t>a dokonać, jeżeli jest on zgodny z ustaleniami planu miejscowego.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Co do zarzutów w sprawie miejscowego planu zagospodarowania przestrzennego dla części obszaru sołectwa Józefów - rejon Kanału Bródnowskiego, w gminie Nieporęt,</w:t>
      </w:r>
      <w:r>
        <w:rPr>
          <w:color w:val="000000"/>
          <w:u w:color="000000"/>
        </w:rPr>
        <w:t xml:space="preserve"> uchwalonego uchwałą Nr IX/41/2</w:t>
      </w:r>
      <w:r>
        <w:rPr>
          <w:color w:val="000000"/>
          <w:u w:color="000000"/>
        </w:rPr>
        <w:t xml:space="preserve">019 Rady Gminy Nieporęt z dnia 30 maja 2019 r. (Dz. Urz. Woj. Mazowieckiego poz. 9232) należy wyjaśnić, że zgodnie z przepisami przedmiotowego  planu: 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obowiązującymi dla terenów zabudowy mieszkaniowej jednorodzinnej o symbolu w planie </w:t>
      </w:r>
      <w:r>
        <w:rPr>
          <w:b/>
          <w:color w:val="000000"/>
          <w:u w:color="000000"/>
        </w:rPr>
        <w:t xml:space="preserve">MN: </w:t>
      </w:r>
    </w:p>
    <w:p w:rsidR="00A77B3E" w:rsidRDefault="00A155A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na każdej</w:t>
      </w:r>
      <w:r>
        <w:rPr>
          <w:color w:val="000000"/>
          <w:u w:color="000000"/>
        </w:rPr>
        <w:t xml:space="preserve"> z działek budowlanych ustala się lokalizację </w:t>
      </w:r>
      <w:r>
        <w:rPr>
          <w:b/>
          <w:color w:val="000000"/>
          <w:u w:color="000000"/>
        </w:rPr>
        <w:t>jednego wolnostojącego budynku mieszkalnego jednorodzinnego</w:t>
      </w:r>
      <w:r>
        <w:rPr>
          <w:color w:val="000000"/>
          <w:u w:color="000000"/>
        </w:rPr>
        <w:t xml:space="preserve"> lub </w:t>
      </w:r>
      <w:r>
        <w:rPr>
          <w:b/>
          <w:color w:val="000000"/>
          <w:u w:color="000000"/>
        </w:rPr>
        <w:t>jednego segmentu w zabudowie bliźniaczej;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obowiązującymi dla terenów zabudowy mieszkaniowej jednorodzinnej i usługowej o symbolu w planie </w:t>
      </w:r>
      <w:r>
        <w:rPr>
          <w:b/>
          <w:color w:val="000000"/>
          <w:u w:color="000000"/>
        </w:rPr>
        <w:t xml:space="preserve">MN/U </w:t>
      </w:r>
      <w:r>
        <w:rPr>
          <w:i/>
          <w:color w:val="000000"/>
          <w:u w:color="000000"/>
        </w:rPr>
        <w:t xml:space="preserve">(co zostało uregulowane także w ustaleniach szczegółowych planu zawartych w § 9 ust. 2 pkt 4 Planu): </w:t>
      </w:r>
    </w:p>
    <w:p w:rsidR="00A77B3E" w:rsidRDefault="00A155A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każdej z działek budowlanych zezwala się na lokalizację:</w:t>
      </w:r>
    </w:p>
    <w:p w:rsidR="00A77B3E" w:rsidRDefault="00A155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jednego</w:t>
      </w:r>
      <w:r>
        <w:rPr>
          <w:color w:val="000000"/>
          <w:u w:color="000000"/>
        </w:rPr>
        <w:t xml:space="preserve"> wolnostojącego budynku mieszkalnego jednorodzinnego lub w zabudowie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bliźniaczej,</w:t>
      </w:r>
      <w:r>
        <w:rPr>
          <w:color w:val="000000"/>
          <w:u w:color="000000"/>
        </w:rPr>
        <w:t xml:space="preserve"> lub</w:t>
      </w:r>
    </w:p>
    <w:p w:rsidR="00A77B3E" w:rsidRDefault="00A155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jednego wolnostojącego budynku usługowego, lub</w:t>
      </w:r>
    </w:p>
    <w:p w:rsidR="00A77B3E" w:rsidRDefault="00A155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jednego wolnostojącego budynku </w:t>
      </w:r>
      <w:proofErr w:type="spellStart"/>
      <w:r>
        <w:rPr>
          <w:color w:val="000000"/>
          <w:u w:color="000000"/>
        </w:rPr>
        <w:t>mieszkalno</w:t>
      </w:r>
      <w:proofErr w:type="spellEnd"/>
      <w:r>
        <w:rPr>
          <w:color w:val="000000"/>
          <w:u w:color="000000"/>
        </w:rPr>
        <w:t xml:space="preserve"> – usługowego, lub</w:t>
      </w:r>
    </w:p>
    <w:p w:rsidR="00A77B3E" w:rsidRDefault="00A155A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 xml:space="preserve">jednego </w:t>
      </w:r>
      <w:r>
        <w:rPr>
          <w:color w:val="000000"/>
          <w:u w:color="000000"/>
        </w:rPr>
        <w:t>wolnostojącego budynku mieszkalnego i </w:t>
      </w:r>
      <w:r>
        <w:rPr>
          <w:b/>
          <w:color w:val="000000"/>
          <w:u w:color="000000"/>
        </w:rPr>
        <w:t>jednego</w:t>
      </w:r>
      <w:r>
        <w:rPr>
          <w:color w:val="000000"/>
          <w:u w:color="000000"/>
        </w:rPr>
        <w:t xml:space="preserve"> wolnostojącego budynku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usługowego.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Pomimo, że sposób określenia w Planie ww. w</w:t>
      </w:r>
      <w:r>
        <w:rPr>
          <w:color w:val="000000"/>
          <w:u w:color="000000"/>
        </w:rPr>
        <w:t>arunków zabudowy (</w:t>
      </w:r>
      <w:r>
        <w:rPr>
          <w:i/>
          <w:color w:val="000000"/>
          <w:u w:color="000000"/>
        </w:rPr>
        <w:t>w zakresie dopuszczenia lokalizacji budynków)</w:t>
      </w:r>
      <w:r>
        <w:rPr>
          <w:color w:val="000000"/>
          <w:u w:color="000000"/>
        </w:rPr>
        <w:t xml:space="preserve"> dla terenów </w:t>
      </w:r>
      <w:r>
        <w:rPr>
          <w:b/>
          <w:color w:val="000000"/>
          <w:u w:color="000000"/>
        </w:rPr>
        <w:t>MN</w:t>
      </w:r>
      <w:r>
        <w:rPr>
          <w:color w:val="000000"/>
          <w:u w:color="000000"/>
        </w:rPr>
        <w:t xml:space="preserve"> i </w:t>
      </w:r>
      <w:r>
        <w:rPr>
          <w:b/>
          <w:color w:val="000000"/>
          <w:u w:color="000000"/>
        </w:rPr>
        <w:t>MN/U</w:t>
      </w:r>
      <w:r>
        <w:rPr>
          <w:color w:val="000000"/>
          <w:u w:color="000000"/>
        </w:rPr>
        <w:t xml:space="preserve"> - </w:t>
      </w:r>
      <w:r>
        <w:rPr>
          <w:color w:val="000000"/>
          <w:u w:val="single" w:color="000000"/>
        </w:rPr>
        <w:t>nie jest opisany</w:t>
      </w:r>
      <w:r>
        <w:rPr>
          <w:color w:val="000000"/>
          <w:u w:color="000000"/>
        </w:rPr>
        <w:t xml:space="preserve"> w identyczny sposób, to warunki te identyczne - ustalone w identyczny sposób – wbrew innym sugestiom Skarżącego.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Dla terenów </w:t>
      </w:r>
      <w:r>
        <w:rPr>
          <w:b/>
          <w:color w:val="000000"/>
          <w:u w:color="000000"/>
        </w:rPr>
        <w:t>MN/U</w:t>
      </w:r>
      <w:r>
        <w:rPr>
          <w:color w:val="000000"/>
          <w:u w:color="000000"/>
        </w:rPr>
        <w:t xml:space="preserve"> - podobnie jak dla terenów zabudowy mieszkaniowej jednorodzinnej </w:t>
      </w:r>
      <w:r>
        <w:rPr>
          <w:b/>
          <w:color w:val="000000"/>
          <w:u w:color="000000"/>
        </w:rPr>
        <w:t>MN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na działce o powierzchni 750 m</w:t>
      </w:r>
      <w:r>
        <w:rPr>
          <w:b/>
          <w:color w:val="000000"/>
          <w:u w:color="000000"/>
          <w:vertAlign w:val="superscript"/>
        </w:rPr>
        <w:t xml:space="preserve">2 </w:t>
      </w:r>
      <w:r>
        <w:rPr>
          <w:b/>
          <w:color w:val="000000"/>
          <w:u w:color="000000"/>
        </w:rPr>
        <w:t xml:space="preserve">dopuszczono bowiem </w:t>
      </w:r>
      <w:r>
        <w:rPr>
          <w:b/>
          <w:color w:val="000000"/>
          <w:u w:val="single" w:color="000000"/>
        </w:rPr>
        <w:t>wyłącznie jeden</w:t>
      </w:r>
      <w:r>
        <w:rPr>
          <w:b/>
          <w:color w:val="000000"/>
          <w:u w:color="000000"/>
        </w:rPr>
        <w:t xml:space="preserve"> budynek mieszkalny, czy to w formie wolnostojącej czy bliźniaczej - co bezpośrednio wynika z ww. postanowień Planu. 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 zauważył sam Zainteresowany, pojęcie segmentu w zabudowie bliźniaczej jest tożsame                      z pojęciem budynku jednorodzinnego w zabudowie bliźniaczej wobec czego, w przypadku dopuszczenia  na jednej działce - jak stara się zasugerować Skar</w:t>
      </w:r>
      <w:r>
        <w:rPr>
          <w:color w:val="000000"/>
          <w:u w:color="000000"/>
        </w:rPr>
        <w:t>żący - zabudowy bliźniaczej w ilości większej niż jeden budynek, mielibyśmy do czynienia z nie z jednym a np. z dwoma budynkami jednorodzinnymi.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Natomiast zgodnie z ustaleniami Planu dla terenów </w:t>
      </w:r>
      <w:r>
        <w:rPr>
          <w:b/>
          <w:color w:val="000000"/>
          <w:u w:color="000000"/>
        </w:rPr>
        <w:t>MN/U</w:t>
      </w:r>
      <w:r>
        <w:rPr>
          <w:color w:val="000000"/>
          <w:u w:color="000000"/>
        </w:rPr>
        <w:t xml:space="preserve"> - lokalizacja </w:t>
      </w:r>
      <w:r>
        <w:rPr>
          <w:b/>
          <w:color w:val="000000"/>
          <w:u w:color="000000"/>
        </w:rPr>
        <w:t>dwóch budynków na jednej działce o przez</w:t>
      </w:r>
      <w:r>
        <w:rPr>
          <w:b/>
          <w:color w:val="000000"/>
          <w:u w:color="000000"/>
        </w:rPr>
        <w:t>naczeniu podstawowym dopuszczona jest wyłącznie w jednym przypadku, tj. wyłącznie w przypadku określonym w § 9 ust. 2 pkt 4 lit. d Planu,</w:t>
      </w:r>
      <w:r>
        <w:rPr>
          <w:color w:val="000000"/>
          <w:u w:color="000000"/>
        </w:rPr>
        <w:t xml:space="preserve"> obejmującym budynek  mieszkalny i budynek usługowy (budynki o innych funkcjach/o innym przeznaczeniu). 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Jednocześnie </w:t>
      </w:r>
      <w:r>
        <w:rPr>
          <w:color w:val="000000"/>
          <w:u w:color="000000"/>
        </w:rPr>
        <w:t>przepisy Planu wyraźnie i jednoznacznie określają minimalną powierzchnię nowo wydzielanej działki budowlanej, w tym: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 zabudowę mieszkaniową </w:t>
      </w:r>
      <w:r>
        <w:rPr>
          <w:b/>
          <w:color w:val="000000"/>
          <w:u w:color="000000"/>
        </w:rPr>
        <w:t>jednorodzinną wolnostojącą</w:t>
      </w:r>
      <w:r>
        <w:rPr>
          <w:color w:val="000000"/>
          <w:u w:color="000000"/>
        </w:rPr>
        <w:t xml:space="preserve"> – 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(MN i MN/U),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 zabudowę mieszkaniową </w:t>
      </w:r>
      <w:r>
        <w:rPr>
          <w:b/>
          <w:color w:val="000000"/>
          <w:u w:color="000000"/>
        </w:rPr>
        <w:t>jednorodzinną bliźniaczą</w:t>
      </w:r>
      <w:r>
        <w:rPr>
          <w:color w:val="000000"/>
          <w:u w:color="000000"/>
        </w:rPr>
        <w:t xml:space="preserve"> - 550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(MN i MN/U),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pod zabudowę </w:t>
      </w:r>
      <w:r>
        <w:rPr>
          <w:b/>
          <w:color w:val="000000"/>
          <w:u w:color="000000"/>
        </w:rPr>
        <w:t xml:space="preserve">usługową </w:t>
      </w:r>
      <w:r>
        <w:rPr>
          <w:color w:val="000000"/>
          <w:u w:color="000000"/>
        </w:rPr>
        <w:t>– 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(MN/U).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Ustalenia Planu w powyższym zakresie są jednoznaczne oraz nie budzą i nie mogą budzić żadnych, sugerowanych w tej sprawie wątpliwości, a tym samym nie ma podstaw do doszukiwania się w tej kwestii </w:t>
      </w:r>
      <w:r>
        <w:rPr>
          <w:color w:val="000000"/>
          <w:u w:color="000000"/>
        </w:rPr>
        <w:t>potrzeby jakiejkolwiek jego innej interpretacji, podobnie jak brak jest podstaw dla formułowania zarzutów niezgodności czy braku spójności przepisów Planu w tym zakresie.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W świetle rzeczywistych postanowień Planu, kreującego polityką przestrzenną Gminy </w:t>
      </w:r>
      <w:r>
        <w:rPr>
          <w:color w:val="000000"/>
          <w:u w:color="000000"/>
        </w:rPr>
        <w:t xml:space="preserve">- nie ma żadnych racjonalnych podstaw do sugerowania, że Plan mógłby przyjmować nielogiczną zasadę, wg. której minimalna powierzchnia nowo wydzielanej działki przeznaczonej pod budowę </w:t>
      </w:r>
      <w:r>
        <w:rPr>
          <w:b/>
          <w:color w:val="000000"/>
          <w:u w:color="000000"/>
        </w:rPr>
        <w:t>jednego</w:t>
      </w:r>
      <w:r>
        <w:rPr>
          <w:color w:val="000000"/>
          <w:u w:color="000000"/>
        </w:rPr>
        <w:t xml:space="preserve"> domu jednorodzinnego wolnostojącego - miałaby wynosić 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a </w:t>
      </w:r>
      <w:r>
        <w:rPr>
          <w:color w:val="000000"/>
          <w:u w:color="000000"/>
        </w:rPr>
        <w:t xml:space="preserve">minimalna powierzchnia nowo wydzielanej działki pod budowę </w:t>
      </w:r>
      <w:r>
        <w:rPr>
          <w:b/>
          <w:color w:val="000000"/>
          <w:u w:color="000000"/>
        </w:rPr>
        <w:t>dwóch domów</w:t>
      </w:r>
      <w:r>
        <w:rPr>
          <w:color w:val="000000"/>
          <w:u w:color="000000"/>
        </w:rPr>
        <w:t xml:space="preserve"> jednorodzinnych w zabudowie bliźniaczej - tylko 550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 xml:space="preserve">a tym samym że działka dla jednego domu  jednorodzinnego wolnostojącego miałaby być większa niż działka pod zabudowę dwóch domów </w:t>
      </w:r>
      <w:r>
        <w:rPr>
          <w:b/>
          <w:color w:val="000000"/>
          <w:u w:color="000000"/>
        </w:rPr>
        <w:lastRenderedPageBreak/>
        <w:t>jednorodzinnych w zabudowie bliźniaczej.</w:t>
      </w:r>
      <w:r>
        <w:rPr>
          <w:color w:val="000000"/>
          <w:u w:color="000000"/>
        </w:rPr>
        <w:t xml:space="preserve"> Próba przyjęcia takiej interpretacji warunków Planu w odniesieniu do tej drugiej sytuacji (budowa dwóch domów jednorodzinnych w zabudowie bliźniaczej na jednej działce o powierzchni 550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 jest pozbawiona jakichkol</w:t>
      </w:r>
      <w:r>
        <w:rPr>
          <w:color w:val="000000"/>
          <w:u w:color="000000"/>
        </w:rPr>
        <w:t xml:space="preserve">wiek podstaw. Poza tym, że taka interpretacja nie znajduje oparcia w przepisach Planu, nielogicznym byłoby aby w efekcie takiej interpretacji dla </w:t>
      </w:r>
      <w:r>
        <w:rPr>
          <w:b/>
          <w:color w:val="000000"/>
          <w:u w:color="000000"/>
        </w:rPr>
        <w:t>jednego domu jednorodzinnego w zabudowie bliźniaczej</w:t>
      </w:r>
      <w:r>
        <w:rPr>
          <w:color w:val="000000"/>
          <w:u w:color="000000"/>
        </w:rPr>
        <w:t xml:space="preserve"> powierzchnia ta miałaby wynosić zaledwie </w:t>
      </w:r>
      <w:r>
        <w:rPr>
          <w:b/>
          <w:color w:val="000000"/>
          <w:u w:color="000000"/>
        </w:rPr>
        <w:t>275 m</w:t>
      </w:r>
      <w:r>
        <w:rPr>
          <w:b/>
          <w:color w:val="000000"/>
          <w:u w:color="000000"/>
          <w:vertAlign w:val="superscript"/>
        </w:rPr>
        <w:t>2</w:t>
      </w:r>
      <w:r>
        <w:rPr>
          <w:b/>
          <w:color w:val="000000"/>
          <w:u w:color="000000"/>
        </w:rPr>
        <w:t>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Dodać pr</w:t>
      </w:r>
      <w:r>
        <w:rPr>
          <w:color w:val="000000"/>
          <w:u w:color="000000"/>
        </w:rPr>
        <w:t>zy tym należy, że oprócz wymaganego określonego w Planie - parametru wielkości nowo wydzielanej działki budowlanej, do spełnienia pozostaje jeszcze jeden nierozłączny wymóg/warunek Planu – nakazujący, aby udział powierzchni zabudowy działki budowlanej wyno</w:t>
      </w:r>
      <w:r>
        <w:rPr>
          <w:color w:val="000000"/>
          <w:u w:color="000000"/>
        </w:rPr>
        <w:t>sił 30% tej powierzchni, natomiast 70% powierzchni nowo wydzielanej działki pozostała biologicznie czynna. Warunek jak wyżej, wyraźnie wskazuje na przyjęcie takiej polityki przestrzennej Gminy, której celem jest zachowanie ładu przestrzennego i zrównoważon</w:t>
      </w:r>
      <w:r>
        <w:rPr>
          <w:color w:val="000000"/>
          <w:u w:color="000000"/>
        </w:rPr>
        <w:t>ego rozwoju Gminy, jako podstawy wszelkich działań związanych z kształtowaniem tej polityki, w szczególności podczas ustalania przeznaczenia terenów na określone cele, zasad zagospodarowania tych terenów oraz ich zabudowy.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Istotnym elementem kształtowani</w:t>
      </w:r>
      <w:r>
        <w:rPr>
          <w:color w:val="000000"/>
          <w:u w:color="000000"/>
        </w:rPr>
        <w:t xml:space="preserve">a ładu przestrzennego Gminy jest natomiast m.in. ustalanie                          w miejscowych planach zagospodarowania przestrzennego </w:t>
      </w:r>
      <w:r>
        <w:rPr>
          <w:b/>
          <w:color w:val="000000"/>
          <w:u w:color="000000"/>
        </w:rPr>
        <w:t xml:space="preserve">wskaźników zagospodarowania terenu, maksymalnej i minimalnej intensywności zabudowy, minimalnego udziału procentowego </w:t>
      </w:r>
      <w:r>
        <w:rPr>
          <w:b/>
          <w:color w:val="000000"/>
          <w:u w:color="000000"/>
        </w:rPr>
        <w:t xml:space="preserve">powierzchni biologicznie czynnej czy też minimalnej powierzchni nowo wydzielanych działek budowlanych – które są ze sobą logicznie i racjonalnie powiązane  i wszystkie razem wyrażają kierunki zagospodarowania przestrzennego przyjęte przez Gminę. 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Warto ta</w:t>
      </w:r>
      <w:r>
        <w:rPr>
          <w:color w:val="000000"/>
          <w:u w:color="000000"/>
        </w:rPr>
        <w:t xml:space="preserve">kże przypomnieć, że do czasu uchwalenia Planu w maju 2019 r. - normatyw nowo wydzielanych działek dopuszczony na tym terenie </w:t>
      </w:r>
      <w:r>
        <w:rPr>
          <w:b/>
          <w:color w:val="000000"/>
          <w:u w:color="000000"/>
        </w:rPr>
        <w:t>był od obecnego znacznie większy</w:t>
      </w:r>
      <w:r>
        <w:rPr>
          <w:color w:val="000000"/>
          <w:u w:color="000000"/>
        </w:rPr>
        <w:t>, bo wynosił odpowiednio: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działek pod zabudowę wolnostojącą </w:t>
      </w:r>
    </w:p>
    <w:p w:rsidR="00A77B3E" w:rsidRDefault="00A155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 600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działek pod zabudowę bliźniaczą/jeden segment budynku bliźniaczego.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Uwzględniając jednak oczekiwania i wnioski właścicieli działek oraz przyszłych inwestorów, w obecnie obowiązującym dopuszczono już zmniejszenie tej powierzchni. Uwzględniając fakt po</w:t>
      </w:r>
      <w:r>
        <w:rPr>
          <w:color w:val="000000"/>
          <w:u w:color="000000"/>
        </w:rPr>
        <w:t>łożenia większości obszarów Gminy Nieporęt w granicach Warszawskiego Obszaru Chronionego Krajobrazu należy ocenić, że normatywy przyjęte w obecnie obowiązującym Planie w maksymalny sposób uwzględniają wnioski mieszkańców i inwestorów w zakresie wielkości d</w:t>
      </w:r>
      <w:r>
        <w:rPr>
          <w:color w:val="000000"/>
          <w:u w:color="000000"/>
        </w:rPr>
        <w:t>ziałek, a jednocześnie korespondują z polityką przestrzenną Gminy w zakresie określonej intensywności zabudowy.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Nieporęt otwarta jest na inwestorów i przedsiębiorców oraz jest gotowa do każdej współpracy na zasadzie partnerskiej. Na etapie sporządzan</w:t>
      </w:r>
      <w:r>
        <w:rPr>
          <w:color w:val="000000"/>
          <w:u w:color="000000"/>
        </w:rPr>
        <w:t>ia projektu planu Gmina Nieporęt każdorazowo zamieszcza ogłoszenia o możliwości składania wniosków do planu. Ponadto na etapie każdego planu prowadzone są dyskusje publiczne, gdzie przy udziale społecznym można wypracować wiele wspólnych rozwiązań.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Nie z</w:t>
      </w:r>
      <w:r>
        <w:rPr>
          <w:color w:val="000000"/>
          <w:u w:color="000000"/>
        </w:rPr>
        <w:t>awsze jednak interes inwestorów, w tym firm deweloperskich jest zbieżny z </w:t>
      </w:r>
      <w:r>
        <w:rPr>
          <w:b/>
          <w:color w:val="000000"/>
          <w:u w:color="000000"/>
        </w:rPr>
        <w:t xml:space="preserve">interesem pozostałych użytkowników przestrzeni, dlatego też interesy te muszą być wzajemnie zrównoważone i rozpatrywane w ramach kreowania polityki przestrzennej Gminy,              </w:t>
      </w:r>
      <w:r>
        <w:rPr>
          <w:b/>
          <w:color w:val="000000"/>
          <w:u w:color="000000"/>
        </w:rPr>
        <w:t xml:space="preserve">                 z zachowaniem warunków jej zrównoważonego rozwoju, przy jednoczesnym uwzględnieniu wszelkich występujących uwarunkowań, w tym przestrzennych i krajobrazowych, a także wynikających z potrzeb mieszkańców Gminy.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przywołany powyżej zrównow</w:t>
      </w:r>
      <w:r>
        <w:rPr>
          <w:color w:val="000000"/>
          <w:u w:color="000000"/>
        </w:rPr>
        <w:t>ażony rozwój Gminy, składa się zrównoważony rozwój infrastruktury zabezpieczającej potrzeby jej mieszkańców, w szczególności w zakresie infrastruktury drogowej, komunikacyjnej, wodociągowo - kanalizacyjnej oraz oświatowej. Inwestorzy, deweloperzy co do zas</w:t>
      </w:r>
      <w:r>
        <w:rPr>
          <w:color w:val="000000"/>
          <w:u w:color="000000"/>
        </w:rPr>
        <w:t>ady unikają natomiast inwestowania w infrastrukturę obsługującą zainwestowane przez nich tereny, narzucając ten problem Gminie, realizując tym samym inwestycje kosztem Gminy i jej wszystkich mieszkańców. Rozwój Gminy musi natomiast uwzględniać wszystkie wa</w:t>
      </w:r>
      <w:r>
        <w:rPr>
          <w:color w:val="000000"/>
          <w:u w:color="000000"/>
        </w:rPr>
        <w:t>rtości składające się na interes publiczny.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stoi na straży utrzymania ładu przestrzennego określonego w swoich dokumentach strategicznych. Działania inwestorów (właścicieli działek) dążących do wydzielania działek o normatywach niezgodnych powierzchn</w:t>
      </w:r>
      <w:r>
        <w:rPr>
          <w:color w:val="000000"/>
          <w:u w:color="000000"/>
        </w:rPr>
        <w:t>iowo z ustaleniami obowiązujących na terenie Gminy miejscowych planów zagospodarowania przestrzennego poprzez interpretowanie przepisów Planu tak, aby możliwy był podział na mniejsze niż wskazane w planie powierzchnie - nie mogą być uwzględniane. Uwzględni</w:t>
      </w:r>
      <w:r>
        <w:rPr>
          <w:color w:val="000000"/>
          <w:u w:color="000000"/>
        </w:rPr>
        <w:t xml:space="preserve">enie takiej interpretacji pozostawałoby w sprzeczności z przepisami obowiązujących Planów, poza tym że prowadziłyby do powstawania bardzo </w:t>
      </w:r>
      <w:r>
        <w:rPr>
          <w:color w:val="000000"/>
          <w:u w:color="000000"/>
        </w:rPr>
        <w:lastRenderedPageBreak/>
        <w:t>intensywnej zabudowy, zwiększając jej zagęszczenie, co także byłoby sprzeczne z przyjętymi kierunkami rozwoju Gminy.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 powyższych względów, w interesie Gminy i jej mieszkańców, a tym samym w interesie publicznym, leży przeciwdziałanie próbom burzenia przyjętej z udziałem czynnika społecznego (w trakcie wyłożeń projektów planów do wglądu publicznego, dyskusji publicznych o</w:t>
      </w:r>
      <w:r>
        <w:rPr>
          <w:color w:val="000000"/>
          <w:u w:color="000000"/>
        </w:rPr>
        <w:t>rganizowanych w trakcie tych wyłożeń) - koncepcji przeznaczenia i zasad zagospodarowania obszaru objętego Planem. Istotą kształtowania polityki przestrzennej i określania przeznaczenia terenów na dane cele oraz zasad zagospodarowania i zabudowy tych terenó</w:t>
      </w:r>
      <w:r>
        <w:rPr>
          <w:color w:val="000000"/>
          <w:u w:color="000000"/>
        </w:rPr>
        <w:t>w jest bowiem poprawa warunków życia mieszkańców, a realizacji tego zamierzenia służy m.in. ograniczenie możliwości dokonywania podziału nieruchomości niezgodnie z ustaleniami planu miejscowego.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Należy podkreślić, że prowadzenie </w:t>
      </w:r>
      <w:r>
        <w:rPr>
          <w:b/>
          <w:color w:val="000000"/>
          <w:u w:val="single" w:color="000000"/>
        </w:rPr>
        <w:t>niekontrolowanej (niezgodne</w:t>
      </w:r>
      <w:r>
        <w:rPr>
          <w:b/>
          <w:color w:val="000000"/>
          <w:u w:val="single" w:color="000000"/>
        </w:rPr>
        <w:t>j z planem/poza planem) -</w:t>
      </w:r>
      <w:r>
        <w:rPr>
          <w:b/>
          <w:color w:val="000000"/>
          <w:u w:color="000000"/>
        </w:rPr>
        <w:t xml:space="preserve"> nadmiernie zintensyfikowanej/zagęszczonej zabudowy Gminy, w tym przy jednoczesnym braku zapewnienia przez inwestorów, deweloperów odpowiedniej infrastruktury technicznej, obsługującej tę zabudowę - poza tym, że naruszałoby zrównow</w:t>
      </w:r>
      <w:r>
        <w:rPr>
          <w:b/>
          <w:color w:val="000000"/>
          <w:u w:color="000000"/>
        </w:rPr>
        <w:t xml:space="preserve">ażony rozwój Gminy, powodowałoby, że koszty tej infrastruktury w konsekwencji musieliby ponosić pozostali mieszkańcy Gminy.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Gospodarka Gminy musi odbywać się w sposób planowy i odpowiednio przygotowany, zmierzający w określonym kierunku, natomiast ewentua</w:t>
      </w:r>
      <w:r>
        <w:rPr>
          <w:color w:val="000000"/>
          <w:u w:color="000000"/>
        </w:rPr>
        <w:t>lna niezgodna z planem a tym samym niekontrolowana zabudowa może prowadzić do sytuacji, w której np. infrastruktura planowana i budowana przez Gminę okaże się nieprzydatna wobec zagospodarowania terenów Gminy niezgodnie z planem.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Stanowisko takie podziel</w:t>
      </w:r>
      <w:r>
        <w:rPr>
          <w:color w:val="000000"/>
          <w:u w:color="000000"/>
        </w:rPr>
        <w:t xml:space="preserve">ają również włodarze sąsiednich gmin, którzy wyrazili we wspólnym stanowisku objętym wspólnie podpisanym dokumentem pn. </w:t>
      </w:r>
      <w:r>
        <w:rPr>
          <w:i/>
          <w:color w:val="000000"/>
          <w:u w:color="000000"/>
        </w:rPr>
        <w:t>Stanowisko Gmin w przedmiocie wniosków o podział nieruchomości na działki o powierzchni niezgodnej z planami zagospodarowania przestrzen</w:t>
      </w:r>
      <w:r>
        <w:rPr>
          <w:i/>
          <w:color w:val="000000"/>
          <w:u w:color="000000"/>
        </w:rPr>
        <w:t>nego.”.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Nieporozumieniem jest zarzut Zainteresowanego, bezpodstawnie sugerujący jakoby Gmina utrudniała inwestycje przedsiębiorcom, ponieważ przedsiębiorcy prowadzą działalność inwestycyjną na podstawie pozwoleń na budowę, natomiast wydawanie pozwoleń n</w:t>
      </w:r>
      <w:r>
        <w:rPr>
          <w:b/>
          <w:color w:val="000000"/>
          <w:u w:color="000000"/>
        </w:rPr>
        <w:t xml:space="preserve">a budowę  nie należy do kompetencji organów Gminy. Wydawanie pozwoleń na budowę należy do organu </w:t>
      </w:r>
      <w:proofErr w:type="spellStart"/>
      <w:r>
        <w:rPr>
          <w:b/>
          <w:color w:val="000000"/>
          <w:u w:color="000000"/>
        </w:rPr>
        <w:t>urbanistyczno</w:t>
      </w:r>
      <w:proofErr w:type="spellEnd"/>
      <w:r>
        <w:rPr>
          <w:b/>
          <w:color w:val="000000"/>
          <w:u w:color="000000"/>
        </w:rPr>
        <w:t xml:space="preserve"> – budowlanego jakim jest Starosta.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Natomiast jak wyżej wskazano, postanowienia Planu nie pozostają w niezgodności, podobnie jak nie są niespój</w:t>
      </w:r>
      <w:r>
        <w:rPr>
          <w:b/>
          <w:color w:val="000000"/>
          <w:u w:color="000000"/>
        </w:rPr>
        <w:t>ne.</w:t>
      </w:r>
      <w:r>
        <w:rPr>
          <w:color w:val="000000"/>
          <w:u w:color="000000"/>
        </w:rPr>
        <w:t xml:space="preserve"> Inwestorzy jako profesjonalni przedsiębiorcy samodzielnie i we własnym interesie podejmują określone decyzje inwestycyjne, natomiast organy gminy działają na podstawie obowiązujących przepisów.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Wójt Gminy nie potwierdził także opisanych w skardze </w:t>
      </w:r>
      <w:r>
        <w:rPr>
          <w:b/>
          <w:color w:val="000000"/>
          <w:u w:color="000000"/>
        </w:rPr>
        <w:t xml:space="preserve">sytuacji, sugerujących jakoby                       w rozmowach bezpośrednich ze Skarżącym miał składać jakiekolwiek obietnice dotyczące zmiany planu, w tym w sposób umożliwiający realizację inwestycji deweloperskich. 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Nie ma również żadnego uzasadnienia d</w:t>
      </w:r>
      <w:r>
        <w:rPr>
          <w:b/>
          <w:color w:val="000000"/>
          <w:u w:color="000000"/>
        </w:rPr>
        <w:t>la żądania przez Skarżącego i zainteresowanego w sprawie rozwiązania przez organy Gminy – Wójta i Radę Gminy zagadnienia dotyczącego wydawanych pozwoleń na budowę, jak bowiem wskazano wyżej wydawanie pozwoleń na budowę nie należy do organu gminy.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 co naj</w:t>
      </w:r>
      <w:r>
        <w:rPr>
          <w:color w:val="000000"/>
          <w:u w:color="000000"/>
        </w:rPr>
        <w:t>mniej ,,niepokojącą” należy nato</w:t>
      </w:r>
      <w:r w:rsidR="002C7D2C">
        <w:rPr>
          <w:color w:val="000000"/>
          <w:u w:color="000000"/>
        </w:rPr>
        <w:t xml:space="preserve">miast uznać, zawartą w skardze, </w:t>
      </w:r>
      <w:r>
        <w:rPr>
          <w:color w:val="000000"/>
          <w:u w:color="000000"/>
        </w:rPr>
        <w:t>a zw</w:t>
      </w:r>
      <w:r w:rsidR="002C7D2C">
        <w:rPr>
          <w:color w:val="000000"/>
          <w:u w:color="000000"/>
        </w:rPr>
        <w:t xml:space="preserve">iązaną                </w:t>
      </w:r>
      <w:bookmarkStart w:id="0" w:name="_GoBack"/>
      <w:bookmarkEnd w:id="0"/>
      <w:r>
        <w:rPr>
          <w:color w:val="000000"/>
          <w:u w:color="000000"/>
        </w:rPr>
        <w:t xml:space="preserve">z niezadowoleniem z ustalonych w planie parametrów powierzchni nowo wydzielanych działek – sugestię rozwiazywania problemów ,,na korzyść przedsiębiorców” - </w:t>
      </w:r>
      <w:r>
        <w:rPr>
          <w:color w:val="000000"/>
          <w:u w:color="000000"/>
        </w:rPr>
        <w:t>nawet wbrew obowiązującym przepisom prawa miejscowego.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 można również zaakceptować takiej jak wyrażona w piśmie Skarżącego - formy nacisku na organy Gminy, a argumenty używane przez Skarżącego w powyższym zakresie należy uznać za niedopuszczalne.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</w:t>
      </w:r>
      <w:r>
        <w:rPr>
          <w:color w:val="000000"/>
          <w:u w:color="000000"/>
        </w:rPr>
        <w:t>a Skarg, Wniosków i Petycji, po wyjaśnieniu stanu faktycznego sprawy, w wyniku przeprowadzonych czynności wyjaśniających, obejmujących analizę treści Skargi, występujących w sprawie okoliczności, wynikających z materiału zgromadzonego w sprawie, nie znalaz</w:t>
      </w:r>
      <w:r>
        <w:rPr>
          <w:color w:val="000000"/>
          <w:u w:color="000000"/>
        </w:rPr>
        <w:t>ła podstaw do uwzględnienia zarzutów Skargi wobec czego skargę należało załatwić negatywnie.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238 § 1 K.p.a.: Zawiadomienie o sposobie załatwienia skargi powinno zawierać: oznaczenie organu, od którego pochodzi, wskazanie, w jaki sposób skarg</w:t>
      </w:r>
      <w:r>
        <w:rPr>
          <w:color w:val="000000"/>
          <w:u w:color="000000"/>
        </w:rPr>
        <w:t xml:space="preserve">a została załatwiona, oraz podpis z podaniem imienia, nazwiska i stanowiska służbowego osoby upoważnionej do załatwienia skargi lub, jeżeli zawiadomienie sporządzone zostało w formie dokumentu elektronicznego, powinno być opatrzone kwalifikowanym podpisem </w:t>
      </w:r>
      <w:r>
        <w:rPr>
          <w:color w:val="000000"/>
          <w:u w:color="000000"/>
        </w:rPr>
        <w:lastRenderedPageBreak/>
        <w:t>elektronicznym. Zawiadomienie o odmownym załatwieniu skargi powinno zawierać ponadto uzasadnienie faktyczne i prawne oraz pouczenie o treści art. 239.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Pouczenie:</w:t>
      </w:r>
    </w:p>
    <w:p w:rsidR="00A77B3E" w:rsidRDefault="00A155A4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Zgodnie z art.  239 § 1 ustawy z dnia 14 czerwca 1960 r. </w:t>
      </w:r>
      <w:r>
        <w:rPr>
          <w:color w:val="000000"/>
          <w:u w:color="000000"/>
        </w:rPr>
        <w:t>Kodeks postępowania administracyjnego (Dz. U. z 2020 r., poz. 256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W przypadku gdy skarga,  w wyniku jej rozpatrzenia, została uznana za bezzasadną i jej bezzasadność wykazano w odpowiedzi na skargę, a skarżący ponowił skargę bez wskazania no</w:t>
      </w:r>
      <w:r>
        <w:rPr>
          <w:color w:val="000000"/>
          <w:u w:color="000000"/>
        </w:rPr>
        <w:t>wych okoliczności - organ właściwy do jej rozpatrzenia może podtrzymać swoje poprzednie stanowisko z odpowiednią adnotacją w aktach sprawy - bez zawiadamiania skarżącego.</w:t>
      </w:r>
    </w:p>
    <w:p w:rsidR="001B7978" w:rsidRDefault="001B79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B7978" w:rsidRDefault="00A155A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B7978" w:rsidRDefault="00A155A4">
      <w:pPr>
        <w:rPr>
          <w:b/>
          <w:color w:val="000000"/>
          <w:sz w:val="24"/>
          <w:szCs w:val="20"/>
          <w:shd w:val="clear" w:color="auto" w:fill="FFFFFF"/>
          <w:lang w:val="hi-IN" w:eastAsia="hi-IN" w:bidi="hi-IN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uchwały </w:t>
      </w:r>
      <w:r>
        <w:rPr>
          <w:b/>
          <w:color w:val="000000"/>
          <w:sz w:val="24"/>
          <w:szCs w:val="20"/>
          <w:shd w:val="clear" w:color="auto" w:fill="FFFFFF"/>
          <w:lang w:val="hi-IN" w:eastAsia="hi-IN" w:bidi="hi-IN"/>
        </w:rPr>
        <w:t xml:space="preserve">w sprawie rozpatrzenia skargi na Wójta Gminy Nieporęt </w:t>
      </w:r>
    </w:p>
    <w:p w:rsidR="001B7978" w:rsidRDefault="001B7978">
      <w:pPr>
        <w:rPr>
          <w:color w:val="FF0000"/>
          <w:sz w:val="24"/>
          <w:szCs w:val="20"/>
          <w:shd w:val="clear" w:color="auto" w:fill="FFFFFF"/>
          <w:lang w:val="hi-IN" w:eastAsia="hi-IN" w:bidi="hi-IN"/>
        </w:rPr>
      </w:pPr>
    </w:p>
    <w:p w:rsidR="001B7978" w:rsidRDefault="00A155A4">
      <w:pPr>
        <w:rPr>
          <w:color w:val="000000"/>
          <w:szCs w:val="20"/>
          <w:shd w:val="clear" w:color="auto" w:fill="FFFFFF"/>
          <w:lang w:val="hi-IN" w:eastAsia="hi-IN" w:bidi="hi-IN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 Zgodnie z art. 18 ust. 2 pkt 15 </w:t>
      </w:r>
      <w:r>
        <w:rPr>
          <w:b/>
          <w:color w:val="000000"/>
          <w:szCs w:val="20"/>
          <w:shd w:val="clear" w:color="auto" w:fill="FFFFFF"/>
          <w:lang w:val="hi-IN" w:eastAsia="hi-IN" w:bidi="hi-IN"/>
        </w:rPr>
        <w:t>ustawy o samorządzie gminnym</w:t>
      </w:r>
      <w:r>
        <w:rPr>
          <w:color w:val="000000"/>
          <w:szCs w:val="20"/>
          <w:shd w:val="clear" w:color="auto" w:fill="FFFFFF"/>
          <w:lang w:val="hi-IN" w:eastAsia="hi-IN" w:bidi="hi-IN"/>
        </w:rPr>
        <w:t xml:space="preserve"> -  d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wyłącznej właściwości rady gminy należy: stanowienie w innych sprawach zastrzeżonych ustawami do kompetencji rady gminy.</w:t>
      </w:r>
    </w:p>
    <w:p w:rsidR="001B7978" w:rsidRDefault="00A155A4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Zgodnie z art.  18b ust. 1 </w:t>
      </w:r>
      <w:r>
        <w:rPr>
          <w:b/>
          <w:color w:val="000000"/>
          <w:szCs w:val="20"/>
          <w:shd w:val="clear" w:color="auto" w:fill="FFFFFF"/>
          <w:lang w:val="hi-IN" w:eastAsia="hi-IN" w:bidi="hi-IN"/>
        </w:rPr>
        <w:t>ustawy o samorządzie gminnym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Rada gminy rozpatruje skargi na działania wójta i gminnych jednostek organizacyjnych; wnioski oraz petycje składane przez obywateli; w tym celu powołuje komisję skarg, wniosków i petycji.</w:t>
      </w:r>
    </w:p>
    <w:p w:rsidR="001B7978" w:rsidRDefault="001B797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B7978" w:rsidRDefault="00A155A4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 Zgodnie z art. 229 pkt 3 </w:t>
      </w:r>
      <w:r>
        <w:rPr>
          <w:b/>
          <w:color w:val="000000"/>
          <w:szCs w:val="20"/>
          <w:shd w:val="clear" w:color="auto" w:fill="FFFFFF"/>
          <w:lang w:val="hi-IN" w:eastAsia="hi-IN" w:bidi="hi-IN"/>
        </w:rPr>
        <w:t>K.p.a</w:t>
      </w:r>
      <w:r>
        <w:rPr>
          <w:color w:val="000000"/>
          <w:szCs w:val="20"/>
          <w:shd w:val="clear" w:color="auto" w:fill="FFFFFF"/>
          <w:lang w:val="hi-IN" w:eastAsia="hi-IN" w:bidi="hi-IN"/>
        </w:rPr>
        <w:t>, - j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eżeli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przepisy szczególne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 określają innych organów właściwych do rozpatrywania skarg, organem właściwym do rozpatrzenia skargi dotyczącej zadań lub działalności: wójta jest - rada gminy;</w:t>
      </w:r>
    </w:p>
    <w:p w:rsidR="001B7978" w:rsidRDefault="00A155A4">
      <w:pPr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 Zgodnie z a</w:t>
      </w:r>
      <w:r>
        <w:rPr>
          <w:b/>
          <w:color w:val="000000"/>
          <w:szCs w:val="20"/>
          <w:shd w:val="clear" w:color="auto" w:fill="FFFFFF"/>
        </w:rPr>
        <w:t xml:space="preserve">rt.  234 pkt 1 K.p.a. - </w:t>
      </w:r>
      <w:r>
        <w:rPr>
          <w:color w:val="000000"/>
          <w:szCs w:val="20"/>
          <w:shd w:val="clear" w:color="auto" w:fill="FFFFFF"/>
        </w:rPr>
        <w:t>w sprawie, w której toczy się postępowanie administra</w:t>
      </w:r>
      <w:r>
        <w:rPr>
          <w:color w:val="000000"/>
          <w:szCs w:val="20"/>
          <w:shd w:val="clear" w:color="auto" w:fill="FFFFFF"/>
        </w:rPr>
        <w:t>cyjne: skarga złożona przez stronę podlega rozpatrzeniu w toku postępowania administracyjnego, zgodnie z przepisami kodeksu postępowania administracyjnego;</w:t>
      </w:r>
    </w:p>
    <w:p w:rsidR="001B7978" w:rsidRDefault="001B7978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B7978" w:rsidRDefault="00A155A4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Skarga objęta projektem uchwały została rozpatrzona przez Komisję Skarg, Wniosków i Petycji, która wnosi niniejszy projekt uchwały.  </w:t>
      </w:r>
    </w:p>
    <w:p w:rsidR="001B7978" w:rsidRDefault="001B7978">
      <w:pPr>
        <w:jc w:val="left"/>
        <w:rPr>
          <w:color w:val="000000"/>
          <w:sz w:val="20"/>
          <w:szCs w:val="20"/>
          <w:shd w:val="clear" w:color="auto" w:fill="FFFFFF"/>
        </w:rPr>
      </w:pPr>
    </w:p>
    <w:p w:rsidR="001B7978" w:rsidRDefault="00A155A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imieniu Komisji Skarg, Wniosków i Petycji:</w:t>
      </w:r>
    </w:p>
    <w:p w:rsidR="001B7978" w:rsidRDefault="00A155A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Przewodnicząca Komisji:</w:t>
      </w:r>
    </w:p>
    <w:p w:rsidR="001B7978" w:rsidRDefault="001B7978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B7978" w:rsidRDefault="00A155A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</w:t>
      </w:r>
    </w:p>
    <w:p w:rsidR="001B7978" w:rsidRDefault="00A155A4">
      <w:pPr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Wiesława Bielska</w:t>
      </w:r>
    </w:p>
    <w:p w:rsidR="001B7978" w:rsidRDefault="001B79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B7978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A4" w:rsidRDefault="00A155A4">
      <w:r>
        <w:separator/>
      </w:r>
    </w:p>
  </w:endnote>
  <w:endnote w:type="continuationSeparator" w:id="0">
    <w:p w:rsidR="00A155A4" w:rsidRDefault="00A1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B797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978" w:rsidRDefault="00A155A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978" w:rsidRDefault="001B7978">
          <w:pPr>
            <w:jc w:val="left"/>
            <w:rPr>
              <w:sz w:val="18"/>
            </w:rPr>
          </w:pPr>
        </w:p>
      </w:tc>
    </w:tr>
  </w:tbl>
  <w:p w:rsidR="001B7978" w:rsidRDefault="001B79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B797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978" w:rsidRDefault="00A155A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978" w:rsidRDefault="001B7978">
          <w:pPr>
            <w:jc w:val="left"/>
            <w:rPr>
              <w:sz w:val="18"/>
            </w:rPr>
          </w:pPr>
        </w:p>
      </w:tc>
    </w:tr>
  </w:tbl>
  <w:p w:rsidR="001B7978" w:rsidRDefault="001B797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B797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978" w:rsidRDefault="00A155A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978" w:rsidRDefault="001B7978">
          <w:pPr>
            <w:jc w:val="left"/>
            <w:rPr>
              <w:sz w:val="18"/>
            </w:rPr>
          </w:pPr>
        </w:p>
      </w:tc>
    </w:tr>
  </w:tbl>
  <w:p w:rsidR="001B7978" w:rsidRDefault="001B79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A4" w:rsidRDefault="00A155A4">
      <w:r>
        <w:separator/>
      </w:r>
    </w:p>
  </w:footnote>
  <w:footnote w:type="continuationSeparator" w:id="0">
    <w:p w:rsidR="00A155A4" w:rsidRDefault="00A1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7978"/>
    <w:rsid w:val="002C7D2C"/>
    <w:rsid w:val="00A155A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03D73"/>
  <w15:docId w15:val="{7A02FF57-E2B3-4DE5-8754-8D122C1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2954</Words>
  <Characters>17725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Wójta Gminy Nieporęt</dc:subject>
  <dc:creator>w.dzwonek</dc:creator>
  <cp:lastModifiedBy>Wiktoria Dzwonek</cp:lastModifiedBy>
  <cp:revision>2</cp:revision>
  <dcterms:created xsi:type="dcterms:W3CDTF">2021-01-07T11:34:00Z</dcterms:created>
  <dcterms:modified xsi:type="dcterms:W3CDTF">2021-01-07T11:34:00Z</dcterms:modified>
  <cp:category>Akt prawny</cp:category>
</cp:coreProperties>
</file>