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D083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1D0832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1D0832">
      <w:pPr>
        <w:keepNext/>
        <w:spacing w:after="480"/>
        <w:jc w:val="center"/>
      </w:pPr>
      <w:r>
        <w:rPr>
          <w:b/>
        </w:rPr>
        <w:t xml:space="preserve">w sprawie stwierdzenia nie naruszania przez projekt „Miejscowego planu zagospodarowania przestrzennego dla obszaru sołectwa Stanisławów Drugi, w gminie Nieporęt” </w:t>
      </w:r>
      <w:r>
        <w:rPr>
          <w:b/>
        </w:rPr>
        <w:t>ustaleń „Studium uwarunkowań i kierunków zagospodarowania przestrzennego gminy Nieporęt”</w:t>
      </w:r>
    </w:p>
    <w:p w:rsidR="00A77B3E" w:rsidRDefault="001D0832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art.18 ust. 2 pkt 15 ustawy z dnia 8 marca 1990 r. </w:t>
      </w:r>
      <w:r>
        <w:rPr>
          <w:i/>
          <w:color w:val="000000"/>
          <w:u w:color="000000"/>
        </w:rPr>
        <w:t>o samorządzie gminnym</w:t>
      </w:r>
      <w:r>
        <w:rPr>
          <w:color w:val="000000"/>
          <w:u w:color="000000"/>
        </w:rPr>
        <w:t xml:space="preserve"> (Dz. U. z 2020 r. poz. 713, z późn.zm.), art. 20 ust.1 ustawy z dnia 27 marca 200</w:t>
      </w:r>
      <w:r>
        <w:rPr>
          <w:color w:val="000000"/>
          <w:u w:color="000000"/>
        </w:rPr>
        <w:t xml:space="preserve">3 r. </w:t>
      </w:r>
      <w:r>
        <w:rPr>
          <w:i/>
          <w:color w:val="000000"/>
          <w:u w:color="000000"/>
        </w:rPr>
        <w:t xml:space="preserve">o planowaniu i zagospodarowaniu przestrzennym </w:t>
      </w:r>
      <w:r>
        <w:rPr>
          <w:color w:val="000000"/>
          <w:u w:color="000000"/>
        </w:rPr>
        <w:t>(Dz. U. z 2020 r. poz. 293, z późn.zm.), Rada Gminy uchwala, co następuje:</w:t>
      </w:r>
    </w:p>
    <w:p w:rsidR="00A77B3E" w:rsidRDefault="001D08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się, że projekt „Miejscowego planu zagospodarowania przestrzennego dla obszaru sołectwa Stanisławów Drugi, w gminie</w:t>
      </w:r>
      <w:r>
        <w:rPr>
          <w:color w:val="000000"/>
          <w:u w:color="000000"/>
        </w:rPr>
        <w:t xml:space="preserve"> Nieporęt”, sporządzony na podstawie uchwały Nr XXXIX/27/2013 Rady Gminy Nieporęt z dnia 25 marca 2013 r. w sprawie przystąpienia do sporządzenia „Miejscowego planu zagospodarowania przestrzennego dla obszaru sołectwa Stanisławów Drugi, w gminie Nieporęt”,</w:t>
      </w:r>
      <w:r>
        <w:rPr>
          <w:color w:val="000000"/>
          <w:u w:color="000000"/>
        </w:rPr>
        <w:t xml:space="preserve"> zmienionej uchwałą Nr XXXVI/4/2017 Rady Gminy Nieporęt z dnia 16 lutego 2017 r. oraz uchwałą Nr XLVI/90/2017 Rady Gminy Nieporęt z dnia 28 września 2017 r., nie narusza ustaleń „Studium uwarunkowań i kierunków zagospodarowania przestrzennego Gminy Nieporę</w:t>
      </w:r>
      <w:r>
        <w:rPr>
          <w:color w:val="000000"/>
          <w:u w:color="000000"/>
        </w:rPr>
        <w:t>t”, uchwalonego uchwałą Nr X/46/2011 Rady Gminy Nieporęt z dnia 9 czerwca 2011 r.</w:t>
      </w:r>
    </w:p>
    <w:p w:rsidR="00A77B3E" w:rsidRDefault="001D08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1D08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 życie z dniem podjęcia.</w:t>
      </w:r>
    </w:p>
    <w:p w:rsidR="002F73F3" w:rsidRDefault="002F73F3">
      <w:pPr>
        <w:keepLines/>
        <w:spacing w:before="120" w:after="120"/>
        <w:ind w:firstLine="340"/>
        <w:rPr>
          <w:color w:val="000000"/>
          <w:u w:color="000000"/>
        </w:rPr>
        <w:sectPr w:rsidR="002F73F3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B03941" w:rsidRDefault="00B03941">
      <w:pPr>
        <w:rPr>
          <w:szCs w:val="20"/>
        </w:rPr>
      </w:pPr>
    </w:p>
    <w:p w:rsidR="00B03941" w:rsidRDefault="001D0832">
      <w:pPr>
        <w:rPr>
          <w:szCs w:val="20"/>
        </w:rPr>
      </w:pPr>
      <w:r>
        <w:rPr>
          <w:b/>
          <w:szCs w:val="20"/>
        </w:rPr>
        <w:t>Uzasadnienie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- stwierdzenia nie naruszania przez projekt "Miejscowego planu zagospodarowania przestrzennego dla obszaru sołectwa Stanisławów Drugi, w gminie Nieporęt". ustaleń „Studium uwarunkowań i kierunków </w:t>
      </w:r>
      <w:r>
        <w:rPr>
          <w:b/>
          <w:szCs w:val="20"/>
        </w:rPr>
        <w:t>zagospodarowania przestrzennego gminy Nieporęt”;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- Miejscowego planu zagospodarowania przestrzennego dla obszaru sołectwa Stanisławów Drugi, w gminie Nieporęt".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Przyjmuje się „Miejscowy plan zagospodarowania przestrzennego dla obszaru sołectwa Stanisławów</w:t>
      </w:r>
      <w:r>
        <w:rPr>
          <w:color w:val="000000"/>
          <w:szCs w:val="20"/>
          <w:u w:color="000000"/>
        </w:rPr>
        <w:t xml:space="preserve"> Drugi, w gminie Nieporęt", do sporządzenia którego przystąpiono na podstawie uchwały Nr XXXIX/27/2013 Rady Gminy Nieporęt z dnia 25 marca 2013 r., zmienionej uchwałą Nr XXXVI/4/2017 z dnia 16 lutego 2017 r. oraz uchwałą Nr XLVI/90/2017 z dnia 28 września </w:t>
      </w:r>
      <w:r>
        <w:rPr>
          <w:color w:val="000000"/>
          <w:szCs w:val="20"/>
          <w:u w:color="000000"/>
        </w:rPr>
        <w:t>2017 r.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Ustalenia planu realizują wymogi wynikające z art. 1 ust. 2-4 ustawy z dnia 27 marca 2003 r.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(Dz. U. z 2020 r. poz. 293, z późn.zm.).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Przedmiotem planu jest przeznaczenie terenów pod następujące funkcje</w:t>
      </w:r>
      <w:r>
        <w:rPr>
          <w:color w:val="000000"/>
          <w:szCs w:val="20"/>
          <w:u w:color="000000"/>
        </w:rPr>
        <w:t>: zabudowy mieszkaniowej jednorodzinnej, zabudowy mieszkaniowej jednorodzinnej z towarzyszącą funkcją usługową, usług (w tym – usług publicznych), zieleni, wód powierzchniowych śródlądowych, dróg publicznych i dróg wewnętrznych, ciągów pieszo-rowerowych or</w:t>
      </w:r>
      <w:r>
        <w:rPr>
          <w:color w:val="000000"/>
          <w:szCs w:val="20"/>
          <w:u w:color="000000"/>
        </w:rPr>
        <w:t>az infrastruktury technicznej - wodociągi.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Głównym celem miejscowego planu zagospodarowania przestrzennego jest stworzenie w formie prawa miejscowego warunków zagospodarowania terenu, które pozwolą maksymalnie podnieść walory przedmiotowego terenu, a jedno</w:t>
      </w:r>
      <w:r>
        <w:rPr>
          <w:color w:val="000000"/>
          <w:szCs w:val="20"/>
          <w:u w:color="000000"/>
        </w:rPr>
        <w:t>cześnie usankcjonować ustalenia wynikające ze „Studium uwarunkowań i kierunków zagospodarowania przestrzennego gminy Nieporęt”.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czasu wejścia planu w życie na terenie objętym planem w przeważającej części obowiązywać będą jeszcze „Zmiany miejscowego pla</w:t>
      </w:r>
      <w:r>
        <w:rPr>
          <w:color w:val="000000"/>
          <w:szCs w:val="20"/>
          <w:u w:color="000000"/>
        </w:rPr>
        <w:t>nu ogólnego zagospodarowania przestrzennego gminy Nieporęt – część II”, uchwalone w dniu 1 kwietnia 2004 r. uchwałą Rady Gminy Nieporęt Nr 15/XXIII/04 oraz w niewielkiej części "Zmiany miejscowego planu ogólnego zagospodarowania przestrzennego gminy Niepor</w:t>
      </w:r>
      <w:r>
        <w:rPr>
          <w:color w:val="000000"/>
          <w:szCs w:val="20"/>
          <w:u w:color="000000"/>
        </w:rPr>
        <w:t xml:space="preserve">ęt - część </w:t>
      </w:r>
      <w:proofErr w:type="spellStart"/>
      <w:r>
        <w:rPr>
          <w:color w:val="000000"/>
          <w:szCs w:val="20"/>
          <w:u w:color="000000"/>
        </w:rPr>
        <w:t>IIIb</w:t>
      </w:r>
      <w:proofErr w:type="spellEnd"/>
      <w:r>
        <w:rPr>
          <w:color w:val="000000"/>
          <w:szCs w:val="20"/>
          <w:u w:color="000000"/>
        </w:rPr>
        <w:t>", uchwalone w dniu 29 czerwca 2006 r. uchwałą Rady Gminy Nieporęt Nr LV/81/06.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„Miejscowy plan zagospodarowania przestrzennego dla obszaru sołectwa Stanisławów Drugi, w gminie Nieporęt” obejmuje swoimi granicami tereny położone w sołectwie </w:t>
      </w:r>
      <w:r>
        <w:rPr>
          <w:color w:val="000000"/>
          <w:szCs w:val="20"/>
          <w:u w:color="000000"/>
        </w:rPr>
        <w:t>Stanisławów Drugi, z wyłączeniem terenów użytków leśnych, które nie uzyskały zgód na zmianę przeznaczenia gruntów leśnych na cele nieleśne. Uchwalenie planu przyczyni się do wykorzystania w pełni walorów krajobrazowych oraz ekonomicznych, przy jednoczesnym</w:t>
      </w:r>
      <w:r>
        <w:rPr>
          <w:color w:val="000000"/>
          <w:szCs w:val="20"/>
          <w:u w:color="000000"/>
        </w:rPr>
        <w:t xml:space="preserve"> uwzględnieniu wszelkich wymagań i potrzeb określonych w art. 1 ust. 2 ustawy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>, jak również innych obowiązujących w zakresie planowania przestrzennego przepisów prawa.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toku opracowania planu przeprowadzona zos</w:t>
      </w:r>
      <w:r>
        <w:rPr>
          <w:color w:val="000000"/>
          <w:szCs w:val="20"/>
          <w:u w:color="000000"/>
        </w:rPr>
        <w:t>tała analiza zgodności jego ustaleń z polityką przestrzenną gminy określoną w „Studium uwarunkowań i kierunków zagospodarowania przestrzennego gminy Nieporęt”. Stwierdzono, iż plan nie narusza ustaleń zawartych w Studium.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Projekt planu został opracowywany </w:t>
      </w:r>
      <w:r>
        <w:rPr>
          <w:color w:val="000000"/>
          <w:szCs w:val="20"/>
          <w:u w:color="000000"/>
        </w:rPr>
        <w:t xml:space="preserve">zgodnie z procedurą określoną w przepisach ustawy z dnia 27 marca 2003 r.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>. W trakcie przygotowywania projektu planu zawiadomiono wymagane przepisami prawa organy i instytucje właściwe do opiniowania i uzgadnian</w:t>
      </w:r>
      <w:r>
        <w:rPr>
          <w:color w:val="000000"/>
          <w:szCs w:val="20"/>
          <w:u w:color="000000"/>
        </w:rPr>
        <w:t>ia projektu planu oraz ogłoszono w prasie i poprzez obwieszczenie na tablicy ogłoszeń Urzędu Gminy o przystąpieniu do opracowania planu miejscowego, z określeniem terminu w jakim zainteresowani mogą zgłaszać wnioski do opracowywanego projektu dokumentu.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</w:t>
      </w:r>
      <w:r>
        <w:rPr>
          <w:color w:val="000000"/>
          <w:szCs w:val="20"/>
          <w:u w:color="000000"/>
        </w:rPr>
        <w:t>stępnie projekt planu został zaopiniowany i uzgodniony przez określone ustawą organy i instytucje.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42 ustawy z dnia 3 października 2008r. </w:t>
      </w:r>
      <w:r>
        <w:rPr>
          <w:i/>
          <w:color w:val="000000"/>
          <w:szCs w:val="20"/>
          <w:u w:color="000000"/>
        </w:rPr>
        <w:t>o udostępnianiu informacji o środowisku i jego ochronie, udziale społeczeństwa w ochronie środowiska or</w:t>
      </w:r>
      <w:r>
        <w:rPr>
          <w:i/>
          <w:color w:val="000000"/>
          <w:szCs w:val="20"/>
          <w:u w:color="000000"/>
        </w:rPr>
        <w:t>az o ocenach oddziaływania na środowisko</w:t>
      </w:r>
      <w:r>
        <w:rPr>
          <w:color w:val="000000"/>
          <w:szCs w:val="20"/>
          <w:u w:color="000000"/>
        </w:rPr>
        <w:t xml:space="preserve"> (Dz.U. z 2020 r. poz. 283, z późn.zm.) przeprowadzono też procedurę strategicznej oceny oddziaływania na środowisko. 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Ze względu na brak przedmiotu regulacji - na obszarze planu nie określono granic i sposobów </w:t>
      </w:r>
      <w:r>
        <w:rPr>
          <w:color w:val="000000"/>
          <w:szCs w:val="20"/>
          <w:u w:color="000000"/>
        </w:rPr>
        <w:t xml:space="preserve">zagospodarowania terenów górniczych, obszarów szczególnego zagrożenia powodzią, obszarów osuwania się </w:t>
      </w:r>
      <w:r>
        <w:rPr>
          <w:color w:val="000000"/>
          <w:szCs w:val="20"/>
          <w:u w:color="000000"/>
        </w:rPr>
        <w:lastRenderedPageBreak/>
        <w:t>mas ziemnych, krajobrazów priorytetowych określonych w audycie krajobrazowym i w planach zagospodarowania przestrzennego województwa oraz obiektów dóbr ku</w:t>
      </w:r>
      <w:r>
        <w:rPr>
          <w:color w:val="000000"/>
          <w:szCs w:val="20"/>
          <w:u w:color="000000"/>
        </w:rPr>
        <w:t>ltury współczesnej.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15 ust. 1 ustawy z dnia 27 marca 2003 r. o planowaniu i zagospodarowaniu przestrzennym (Dz. U. z 2020 r. poz. 293, z późn.zm) </w:t>
      </w:r>
      <w:r>
        <w:rPr>
          <w:i/>
          <w:color w:val="000000"/>
          <w:szCs w:val="20"/>
          <w:u w:color="000000"/>
        </w:rPr>
        <w:t>- wójt sporządza projekt planu miejscowego, zawierający część tekstową i graficzną, zgodnie z z</w:t>
      </w:r>
      <w:r>
        <w:rPr>
          <w:i/>
          <w:color w:val="000000"/>
          <w:szCs w:val="20"/>
          <w:u w:color="000000"/>
        </w:rPr>
        <w:t>apisami studium oraz z przepisami odrębnymi, odnoszącymi się do obszaru objętego planem, wraz z uzasadnieniem. W uzasadnieniu przedstawia się w szczególności: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1) sposób realizacji wymogów wynikających z art. 1 ust. 2-4;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2) zgodność z wynikami analizy, o kt</w:t>
      </w:r>
      <w:r>
        <w:rPr>
          <w:i/>
          <w:color w:val="000000"/>
          <w:szCs w:val="20"/>
          <w:u w:color="000000"/>
        </w:rPr>
        <w:t>órej mowa w art. 32 ust. 1, wraz z datą uchwały, o której mowa w art. 32 ust.2, oraz sposób uwzględnienia uniwersalnego projektowania;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3) wpływ na finanse publiczne, w tym budżet gminy.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 ust. 2 ustawy o planow</w:t>
      </w:r>
      <w:r>
        <w:rPr>
          <w:b/>
          <w:color w:val="000000"/>
          <w:szCs w:val="20"/>
          <w:u w:color="000000"/>
        </w:rPr>
        <w:t>aniu i zagospodarowaniu przestrzennym: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wymagania ładu przestrzennego, w tym urbanistyki i architektury</w:t>
      </w:r>
      <w:r>
        <w:rPr>
          <w:color w:val="000000"/>
          <w:szCs w:val="20"/>
          <w:u w:color="000000"/>
        </w:rPr>
        <w:t xml:space="preserve"> – poprzez ustalenie przeznaczenia terenu oraz zasad ochrony i kształtowania ładu przestrzennego, parametrów i wskaźników kształtowania zabudowy oraz zag</w:t>
      </w:r>
      <w:r>
        <w:rPr>
          <w:color w:val="000000"/>
          <w:szCs w:val="20"/>
          <w:u w:color="000000"/>
        </w:rPr>
        <w:t xml:space="preserve">ospodarowania terenu, z uwzględnieniem istniejącego stanu zagospodarowania. Zasady ochrony i kształtowania ładu przestrzennego określone zostały ustaleniami nieprzekraczalnych linii zabudowy oraz zasad kształtowania zabudowy; 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walory architektoniczne i kr</w:t>
      </w:r>
      <w:r>
        <w:rPr>
          <w:b/>
          <w:color w:val="000000"/>
          <w:szCs w:val="20"/>
          <w:u w:color="000000"/>
        </w:rPr>
        <w:t>ajobrazowe</w:t>
      </w:r>
      <w:r>
        <w:rPr>
          <w:color w:val="000000"/>
          <w:szCs w:val="20"/>
          <w:u w:color="000000"/>
        </w:rPr>
        <w:t xml:space="preserve"> – przede wszystkim poprzez uwzględnienie wartościowego pod względem przyrodniczym terenu, gdyż obszar planu nie charakteryzuje się szczególnymi wartościami architektonicznymi, natomiast występują na nim prawne formy ochrony przyrody - położony j</w:t>
      </w:r>
      <w:r>
        <w:rPr>
          <w:color w:val="000000"/>
          <w:szCs w:val="20"/>
          <w:u w:color="000000"/>
        </w:rPr>
        <w:t xml:space="preserve">est w części w granicach Warszawskiego Obszaru Chronionego Krajobrazu, utworzonego na podstawie rozporządzenia Wojewody Warszawskiego z dnia 29 sierpnia 1997 r. </w:t>
      </w:r>
      <w:r>
        <w:rPr>
          <w:i/>
          <w:color w:val="000000"/>
          <w:szCs w:val="20"/>
          <w:u w:color="000000"/>
        </w:rPr>
        <w:t>w sprawie utworzenia obszaru chronionego krajobrazu na terenie województwa warszawskiego</w:t>
      </w:r>
      <w:r>
        <w:rPr>
          <w:color w:val="000000"/>
          <w:szCs w:val="20"/>
          <w:u w:color="000000"/>
        </w:rPr>
        <w:t xml:space="preserve"> (Dz. U</w:t>
      </w:r>
      <w:r>
        <w:rPr>
          <w:color w:val="000000"/>
          <w:szCs w:val="20"/>
          <w:u w:color="000000"/>
        </w:rPr>
        <w:t xml:space="preserve">rz. Woj. Warsz. z dnia 16 września 1997r., Nr 43, poz. 149, ze zm.), które straciło moc z dniem wejścia w życie rozporządzenia Nr 3 Wojewody Mazowieckiego z dnia 13 lutego 2007 r. w sprawie Warszawskiego Obszaru Chronionego Krajobrazu (Dz. Urz. Woj. </w:t>
      </w:r>
      <w:proofErr w:type="spellStart"/>
      <w:r>
        <w:rPr>
          <w:color w:val="000000"/>
          <w:szCs w:val="20"/>
          <w:u w:color="000000"/>
        </w:rPr>
        <w:t>Maz</w:t>
      </w:r>
      <w:proofErr w:type="spellEnd"/>
      <w:r>
        <w:rPr>
          <w:color w:val="000000"/>
          <w:szCs w:val="20"/>
          <w:u w:color="000000"/>
        </w:rPr>
        <w:t>. N</w:t>
      </w:r>
      <w:r>
        <w:rPr>
          <w:color w:val="000000"/>
          <w:szCs w:val="20"/>
          <w:u w:color="000000"/>
        </w:rPr>
        <w:t>r 42, poz. 870, ze zm.). Ważne z punktu widzenia potrzeb środowiska przyrodniczego jest zachowanie w ramach nowego zagospodarowania znacznego udziału terenów biologicznie czynnych. Zgodnie z opinią organu opiniującego i uzgadniającego projekt planu, tj. Re</w:t>
      </w:r>
      <w:r>
        <w:rPr>
          <w:color w:val="000000"/>
          <w:szCs w:val="20"/>
          <w:u w:color="000000"/>
        </w:rPr>
        <w:t>gionalnego Dyrektora Ochrony Środowiska w Warszawie, w przypadku zachowania odpowiednich procedur i zapisów planu zagrożenie dla środowiska powinno być niewielkie. Rozwiązania przyjęte w projekcie planu w części dotyczącej obszaru chronionego krajobrazu ni</w:t>
      </w:r>
      <w:r>
        <w:rPr>
          <w:color w:val="000000"/>
          <w:szCs w:val="20"/>
          <w:u w:color="000000"/>
        </w:rPr>
        <w:t>e będą miały negatywnego wpływu na ochronę przyrody ww. obszaru chronionego krajobrazu oraz nie będą naruszać ograniczeń wynikających z utworzenia na tym terenie ww. formy ochrony przyrody. W ustaleniach projektu planu znajdują się zapisy wskazujące, że ob</w:t>
      </w:r>
      <w:r>
        <w:rPr>
          <w:color w:val="000000"/>
          <w:szCs w:val="20"/>
          <w:u w:color="000000"/>
        </w:rPr>
        <w:t>szar objęty planem położony jest w granicach ww. formy ochrony przyrody, w której obowiązują zakazy, nakazy i ograniczenia zgodnie z przepisami odrębnymi.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 ochrony walorów krajobrazowych istotne jest również zachowanie użytków zielonych otaczających dol</w:t>
      </w:r>
      <w:r>
        <w:rPr>
          <w:color w:val="000000"/>
          <w:szCs w:val="20"/>
          <w:u w:color="000000"/>
        </w:rPr>
        <w:t>inę Kanału Bródnowskiego, stanowiących element lokalnego korytarza ekologicznego;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wymagania ochrony środowiska, w tym gospodarowania wodami i ochrony gruntów rolnych i leśnych</w:t>
      </w:r>
      <w:r>
        <w:rPr>
          <w:color w:val="000000"/>
          <w:szCs w:val="20"/>
          <w:u w:color="000000"/>
        </w:rPr>
        <w:t xml:space="preserve"> – północno-wschodnia część obszaru planu usytuowana jest w Warszawskim Obszarze</w:t>
      </w:r>
      <w:r>
        <w:rPr>
          <w:color w:val="000000"/>
          <w:szCs w:val="20"/>
          <w:u w:color="000000"/>
        </w:rPr>
        <w:t xml:space="preserve"> Chronionego Krajobrazu. Ponadto obszar objęty planem leży nad udokumentowanym Głównym Zbiornikiem Wód Podziemnych nr 222 „Dolina Środkowej Wisły (Warszawa – Puławy)” o średniej głębokości ujęć 60 m, nieudokumentowanym Głównym Zbiornikiem Wód Podziemnych N</w:t>
      </w:r>
      <w:r>
        <w:rPr>
          <w:color w:val="000000"/>
          <w:szCs w:val="20"/>
          <w:u w:color="000000"/>
        </w:rPr>
        <w:t>r 215 „</w:t>
      </w:r>
      <w:proofErr w:type="spellStart"/>
      <w:r>
        <w:rPr>
          <w:color w:val="000000"/>
          <w:szCs w:val="20"/>
          <w:u w:color="000000"/>
        </w:rPr>
        <w:t>Subniecka</w:t>
      </w:r>
      <w:proofErr w:type="spellEnd"/>
      <w:r>
        <w:rPr>
          <w:color w:val="000000"/>
          <w:szCs w:val="20"/>
          <w:u w:color="000000"/>
        </w:rPr>
        <w:t xml:space="preserve"> Warszawska” o średniej głębokości ujęć 160 m oraz nieudokumentowanym Głównym Zbiornikiem Wód Podziemnych Nr 2151 „</w:t>
      </w:r>
      <w:proofErr w:type="spellStart"/>
      <w:r>
        <w:rPr>
          <w:color w:val="000000"/>
          <w:szCs w:val="20"/>
          <w:u w:color="000000"/>
        </w:rPr>
        <w:t>Subniecka</w:t>
      </w:r>
      <w:proofErr w:type="spellEnd"/>
      <w:r>
        <w:rPr>
          <w:color w:val="000000"/>
          <w:szCs w:val="20"/>
          <w:u w:color="000000"/>
        </w:rPr>
        <w:t xml:space="preserve"> Warszawska – część centralna” o średniej głębokości ujęć 180 m. Plan wprowadza ustalenia dotyczące zasad ochrony śr</w:t>
      </w:r>
      <w:r>
        <w:rPr>
          <w:color w:val="000000"/>
          <w:szCs w:val="20"/>
          <w:u w:color="000000"/>
        </w:rPr>
        <w:t xml:space="preserve">odowiska, zawierające nakazy, zakazy, dopuszczenia i ograniczenia w zagospodarowaniu terenów wynikające z potrzeb ochrony środowiska, w tym z ustawy </w:t>
      </w:r>
      <w:r>
        <w:rPr>
          <w:i/>
          <w:color w:val="000000"/>
          <w:szCs w:val="20"/>
          <w:u w:color="000000"/>
        </w:rPr>
        <w:t>Prawo ochrony środowiska</w:t>
      </w:r>
      <w:r>
        <w:rPr>
          <w:color w:val="000000"/>
          <w:szCs w:val="20"/>
          <w:u w:color="000000"/>
        </w:rPr>
        <w:t xml:space="preserve"> i ustawy </w:t>
      </w:r>
      <w:r>
        <w:rPr>
          <w:i/>
          <w:color w:val="000000"/>
          <w:szCs w:val="20"/>
          <w:u w:color="000000"/>
        </w:rPr>
        <w:t>o ochronie przyrody</w:t>
      </w:r>
      <w:r>
        <w:rPr>
          <w:color w:val="000000"/>
          <w:szCs w:val="20"/>
          <w:u w:color="000000"/>
        </w:rPr>
        <w:t>, a także obowiązujące ustalenia planów ochrony dla fo</w:t>
      </w:r>
      <w:r>
        <w:rPr>
          <w:color w:val="000000"/>
          <w:szCs w:val="20"/>
          <w:u w:color="000000"/>
        </w:rPr>
        <w:t xml:space="preserve">rm ochrony przyrody występujących na terenach objętych projektem planu. 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przedmiotowym planie uregulowano kwestie zaopatrzenia w wodę, odprowadzania i oczyszczania ścieków oraz odprowadzania wód opadowych z dróg i działek budowlanych, w tym - wprowadzono</w:t>
      </w:r>
      <w:r>
        <w:rPr>
          <w:color w:val="000000"/>
          <w:szCs w:val="20"/>
          <w:u w:color="000000"/>
        </w:rPr>
        <w:t xml:space="preserve"> nakaz kształtowania powierzchni działek w sposób zabezpieczający sąsiednie tereny przed spływem wód opadowych i roztopowych. Zgodnie z planem - rozprowadzenie wód opadowych i roztopowych z połaci dachowych obiektów budowlanych </w:t>
      </w:r>
      <w:r>
        <w:rPr>
          <w:color w:val="000000"/>
          <w:szCs w:val="20"/>
          <w:u w:color="000000"/>
        </w:rPr>
        <w:lastRenderedPageBreak/>
        <w:t>winno się odbywać na własnym</w:t>
      </w:r>
      <w:r>
        <w:rPr>
          <w:color w:val="000000"/>
          <w:szCs w:val="20"/>
          <w:u w:color="000000"/>
        </w:rPr>
        <w:t xml:space="preserve"> terenie nieutwardzonym, do dołów chłonnych lub zbiorników retencyjnych, a następnie do rowu odwadniającego, w sposób nie powodujący pogorszenia środowiska oraz wpływania na sąsiadujące nieruchomości. Wody opadowe z powierzchni dróg oraz miejsc postojowych</w:t>
      </w:r>
      <w:r>
        <w:rPr>
          <w:color w:val="000000"/>
          <w:szCs w:val="20"/>
          <w:u w:color="000000"/>
        </w:rPr>
        <w:t xml:space="preserve"> należy zagospodarowywać zgodnie z obowiązującymi przepisami prawa wodnego.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ustalono wymóg podłączania instalacji kanalizacyjnej odprowadzającej ścieki z obszaru planu do istniejącej kanalizacji przyłączonej do oczyszczalni ścieków. Do czasu budow</w:t>
      </w:r>
      <w:r>
        <w:rPr>
          <w:color w:val="000000"/>
          <w:szCs w:val="20"/>
          <w:u w:color="000000"/>
        </w:rPr>
        <w:t>y kanalizacji sanitarnej dopuszczono możliwość odprowadzania ścieków do szczelnych zbiorników na nieczystości ciekłe.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wskazano też dopuszczalny poziom hałasu dla terenów zabudowy mieszkaniowej jednorodzinnej, mieszkaniowej jednorodzinnej z towarzy</w:t>
      </w:r>
      <w:r>
        <w:rPr>
          <w:color w:val="000000"/>
          <w:szCs w:val="20"/>
          <w:u w:color="000000"/>
        </w:rPr>
        <w:t>szącą funkcją usługową oraz dla terenów zabudowy usługowej.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Ponadto, plan wprowadza zakaz lokalizacji obiektów umożliwiających składowanie materiałów niebezpiecznych pożarowo tworzących strefy zagrożone wybuchem oraz stacji gazowych. Zakazuje też przedsięw</w:t>
      </w:r>
      <w:r>
        <w:rPr>
          <w:color w:val="000000"/>
          <w:szCs w:val="20"/>
          <w:u w:color="000000"/>
        </w:rPr>
        <w:t xml:space="preserve">zięć mogących znacząco oddziaływać na środowisko, z wyjątkiem inwestycji celu publicznego oraz przedsięwzięć infrastrukturalnych zabezpieczających funkcjonowanie społeczności i gminy. Plan zawiera także zakaz lokalizacji usług związanych z gospodarowaniem </w:t>
      </w:r>
      <w:r>
        <w:rPr>
          <w:color w:val="000000"/>
          <w:szCs w:val="20"/>
          <w:u w:color="000000"/>
        </w:rPr>
        <w:t>odpadami, a prowadzona działalność nie może powodować przekroczenia dopuszczalnych standardów jakości środowiska poza granicami działki, do której prowadzący działalność gospodarczą posiada tytuł prawny, określonych w przepisach odrębnych.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Teren objęty pla</w:t>
      </w:r>
      <w:r>
        <w:rPr>
          <w:color w:val="000000"/>
          <w:szCs w:val="20"/>
          <w:u w:color="000000"/>
        </w:rPr>
        <w:t xml:space="preserve">nem wymagał - zgodnie z przepisami ustawy z dnia 3 lutego 1995 r. </w:t>
      </w:r>
      <w:r>
        <w:rPr>
          <w:i/>
          <w:color w:val="000000"/>
          <w:szCs w:val="20"/>
          <w:u w:color="000000"/>
        </w:rPr>
        <w:t>o ochronie gruntów rolnych i leśnych</w:t>
      </w:r>
      <w:r>
        <w:rPr>
          <w:color w:val="000000"/>
          <w:szCs w:val="20"/>
          <w:u w:color="000000"/>
        </w:rPr>
        <w:t xml:space="preserve"> (Dz. U. z 2017 r. poz.1161, z późn.zm.) - uzyskania w toku procedury planistycznej zgód na zmianę przeznaczenia gruntów leśnych na cele nieleśne. Decyzją</w:t>
      </w:r>
      <w:r>
        <w:rPr>
          <w:color w:val="000000"/>
          <w:szCs w:val="20"/>
          <w:u w:color="000000"/>
        </w:rPr>
        <w:t xml:space="preserve"> Nr 108/2019 z dnia 10 grudnia 2019 r. Marszałek Województwa Mazowieckiego wyraził zgodę na zmianę przeznaczenia 0,1379 ha gruntów leśnych na cele dróg publicznych klasy zbiorczej oraz drogę wewnętrzną.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planie zostały uwzględnione warunki określone </w:t>
      </w:r>
      <w:r>
        <w:rPr>
          <w:color w:val="000000"/>
          <w:szCs w:val="20"/>
          <w:u w:color="000000"/>
        </w:rPr>
        <w:t>w pismach Regionalnego Dyrektora Ochrony Środowiska w Warszawie (pismo Nr WOOŚ-I.411.147.2013.DC z dnia 10 czerwca 2013 r.) oraz Państwowego Powiatowego Inspektora Sanitarnego w Legionowie (pismo nr PPIS/ZNS-711/1864-17/13 z dnia 29 maja 2013 r.), w któryc</w:t>
      </w:r>
      <w:r>
        <w:rPr>
          <w:color w:val="000000"/>
          <w:szCs w:val="20"/>
          <w:u w:color="000000"/>
        </w:rPr>
        <w:t>h uzgodniono zakres i stopień szczegółowości prognozy oddziaływania na środowisko do projektu planu.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obszarze planu nie występują tereny górnicze, obszary szczególnego zagrożenia powodzią oraz tereny zagrożone osuwaniem się mas ziemnych;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wymagania ochro</w:t>
      </w:r>
      <w:r>
        <w:rPr>
          <w:b/>
          <w:color w:val="000000"/>
          <w:szCs w:val="20"/>
          <w:u w:color="000000"/>
        </w:rPr>
        <w:t>ny dziedzictwa kulturowego i zabytków oraz dóbr kultury współczesnej</w:t>
      </w:r>
      <w:r>
        <w:rPr>
          <w:color w:val="000000"/>
          <w:szCs w:val="20"/>
          <w:u w:color="000000"/>
        </w:rPr>
        <w:t xml:space="preserve"> – plan miejscowy ustala ochronę zabytków archeologicznych - stanowisk archeologicznych nr ew.: AZP 53-66/91, AZP 53-66/92 i AZP 53-66/97 w formie stref ochrony konserwatorskiej. W wyznacz</w:t>
      </w:r>
      <w:r>
        <w:rPr>
          <w:color w:val="000000"/>
          <w:szCs w:val="20"/>
          <w:u w:color="000000"/>
        </w:rPr>
        <w:t>onej strefie zagospodarowanie terenu, prowadzenie badań i robót budowlanych oraz podejmowanie innych działań na terenach położonych w granicach strefy odbywać się winno na zasadach określonych w przepisach odrębnych dotyczących ochrony zabytków i opieki na</w:t>
      </w:r>
      <w:r>
        <w:rPr>
          <w:color w:val="000000"/>
          <w:szCs w:val="20"/>
          <w:u w:color="000000"/>
        </w:rPr>
        <w:t>d zabytkami. Na obszarze planu nie odnotowano dóbr kultury współczesnej;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wymagania ochrony zdrowia oraz bezpieczeństwa ludzi i mienia, a także potrzeby osób ze szczególnymi potrzebami, o których mowa w ustawie z dnia 19 lipca 2019 r. o zapewnianiu dostępn</w:t>
      </w:r>
      <w:r>
        <w:rPr>
          <w:b/>
          <w:color w:val="000000"/>
          <w:szCs w:val="20"/>
          <w:u w:color="000000"/>
        </w:rPr>
        <w:t>ości osobom ze szczególnymi potrzebami</w:t>
      </w:r>
      <w:r>
        <w:rPr>
          <w:color w:val="000000"/>
          <w:szCs w:val="20"/>
          <w:u w:color="000000"/>
        </w:rPr>
        <w:t xml:space="preserve"> – z uwagi na wymóg ochrony zdrowia i bezpieczeństwa ludzi, plan zawiera szereg ustaleń z zakresu ochrony środowiska, m.in. standardy akustyczne dla terenów mieszkaniowych jednorodzinnych i mieszkaniowo-usługowych, zak</w:t>
      </w:r>
      <w:r>
        <w:rPr>
          <w:color w:val="000000"/>
          <w:szCs w:val="20"/>
          <w:u w:color="000000"/>
        </w:rPr>
        <w:t xml:space="preserve">az lokalizowania inwestycji mogących znacząco oddziaływać na środowisko – za wyjątkiem inwestycji celu publicznego oraz przedsięwzięć infrastrukturalnych zabezpieczających funkcjonowanie społeczności i gminy. 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celu utrzymania standardów emisyjnych przez </w:t>
      </w:r>
      <w:r>
        <w:rPr>
          <w:color w:val="000000"/>
          <w:szCs w:val="20"/>
          <w:u w:color="000000"/>
        </w:rPr>
        <w:t>nowe obiekty budowlane dopuszczono indywidualne ogrzewanie obiektów na paliwa - z zastrzeżeniem, że stosowane urządzenia będą się charakteryzowały sprawnością energetyczną powyżej 80%. Dopuszczono też stosowanie alternatywnych, ekologicznych źródeł ciepła,</w:t>
      </w:r>
      <w:r>
        <w:rPr>
          <w:color w:val="000000"/>
          <w:szCs w:val="20"/>
          <w:u w:color="000000"/>
        </w:rPr>
        <w:t xml:space="preserve"> takich jak urządzenia służące do poboru ciepła z energii słonecznej, powietrzne lub gruntowe pompy ciepła i inne - z zastrzeżeniem, że stosowanie alternatywnych źródeł ciepła nie może wiązać się z przekroczeniem obowiązujących norm emisji hałasu, pyłów lu</w:t>
      </w:r>
      <w:r>
        <w:rPr>
          <w:color w:val="000000"/>
          <w:szCs w:val="20"/>
          <w:u w:color="000000"/>
        </w:rPr>
        <w:t>b substancji szkodliwych do środowiska. Dopuszczono także budowę i rozbudowę scentralizowanych sieci ciepłowniczych wraz z urządzeniami zasilającymi w ciepło - z zastrzeżeniem, że stosowane urządzenia będą się charakteryzowały sprawnością energetyczną powy</w:t>
      </w:r>
      <w:r>
        <w:rPr>
          <w:color w:val="000000"/>
          <w:szCs w:val="20"/>
          <w:u w:color="000000"/>
        </w:rPr>
        <w:t>żej 80%.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zakresie wymagań potrzeb osób niepełnosprawnych nakazuje się zapewnienie miejsc postojowych dla pojazdów zaopatrzonych w kartę parkingową w ilości zgodnej z przepisami odrębnymi. Plan nie wprowadza </w:t>
      </w:r>
      <w:r>
        <w:rPr>
          <w:color w:val="000000"/>
          <w:szCs w:val="20"/>
          <w:u w:color="000000"/>
        </w:rPr>
        <w:lastRenderedPageBreak/>
        <w:t>żadnych ograniczeń uniemożliwiających realizacj</w:t>
      </w:r>
      <w:r>
        <w:rPr>
          <w:color w:val="000000"/>
          <w:szCs w:val="20"/>
          <w:u w:color="000000"/>
        </w:rPr>
        <w:t>ę rozwiązań architektonicznych dla potrzeb osób niepełnosprawnych;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walory ekonomiczne przestrzeni</w:t>
      </w:r>
      <w:r>
        <w:rPr>
          <w:color w:val="000000"/>
          <w:szCs w:val="20"/>
          <w:u w:color="000000"/>
        </w:rPr>
        <w:t xml:space="preserve"> – obszar opracowania leży zaledwie 2 km od miasta Legionowa oraz 20 km od centrum Warszawy. Wieś przecina droga powiatowa – ulica Wolska, stanowiąca oś Stani</w:t>
      </w:r>
      <w:r>
        <w:rPr>
          <w:color w:val="000000"/>
          <w:szCs w:val="20"/>
          <w:u w:color="000000"/>
        </w:rPr>
        <w:t>sławowa Drugiego. Położenie w sąsiedztwie stolicy sprawia, że jest ona głównym ośrodkiem oddziałującym na Stanisławów Drugi. Około 37% powierzchni stanowi zabudowa mieszkaniowa i zagrodowa. Zabudowa zlokalizowana jest po obu stronach ulicy Wolskiej oraz w </w:t>
      </w:r>
      <w:r>
        <w:rPr>
          <w:color w:val="000000"/>
          <w:szCs w:val="20"/>
          <w:u w:color="000000"/>
        </w:rPr>
        <w:t>południowej części obszaru na terenach przylegających do wsi Grudzie, wzdłuż ulicy Łąkowej i Radosnej. Miejscowo wzdłuż głównej ulicy Wolskiej zlokalizowana jest zabudowa usługowa. Tereny usług są ściśle powiązane z terenami mieszkaniowymi. Z uwagi na blis</w:t>
      </w:r>
      <w:r>
        <w:rPr>
          <w:color w:val="000000"/>
          <w:szCs w:val="20"/>
          <w:u w:color="000000"/>
        </w:rPr>
        <w:t xml:space="preserve">kość Warszawy obszar planu podlega wzmożonym procesom urbanizacyjnym. Dzięki występowaniu zwartych kompleksów leśnych oraz </w:t>
      </w:r>
      <w:proofErr w:type="spellStart"/>
      <w:r>
        <w:rPr>
          <w:color w:val="000000"/>
          <w:szCs w:val="20"/>
          <w:u w:color="000000"/>
        </w:rPr>
        <w:t>zadrzewień</w:t>
      </w:r>
      <w:proofErr w:type="spellEnd"/>
      <w:r>
        <w:rPr>
          <w:color w:val="000000"/>
          <w:szCs w:val="20"/>
          <w:u w:color="000000"/>
        </w:rPr>
        <w:t xml:space="preserve"> wieś ta jest atrakcyjnym obszarem rozwoju zabudowy mieszkaniowej jednorodzinnej, cieszącym się dużym zainteresowaniem inwe</w:t>
      </w:r>
      <w:r>
        <w:rPr>
          <w:color w:val="000000"/>
          <w:szCs w:val="20"/>
          <w:u w:color="000000"/>
        </w:rPr>
        <w:t>storów. Istniejąca i projektowana infrastruktura funkcjonalno-przestrzenna, w tym układ dróg, pozwala na racjonalne wykorzystanie przestrzeni przeznaczonej pod zabudowę. Jednocześnie na części obszaru od strony Kanału Bródnowskiego pozostawia się funkcję p</w:t>
      </w:r>
      <w:r>
        <w:rPr>
          <w:color w:val="000000"/>
          <w:szCs w:val="20"/>
          <w:u w:color="000000"/>
        </w:rPr>
        <w:t>rzyrodniczą (teren zieleni), podnosząc jakość życia mieszkańców, a co za tym idzie walory ekonomiczne przestrzeni. Drogi prowadzone będą w większości po istniejących śladach, z poszerzeniem na terenach obecnie zajętych przez zabudowę mieszkaniową jednorodz</w:t>
      </w:r>
      <w:r>
        <w:rPr>
          <w:color w:val="000000"/>
          <w:szCs w:val="20"/>
          <w:u w:color="000000"/>
        </w:rPr>
        <w:t>inną;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prawo własności</w:t>
      </w:r>
      <w:r>
        <w:rPr>
          <w:color w:val="000000"/>
          <w:szCs w:val="20"/>
          <w:u w:color="000000"/>
        </w:rPr>
        <w:t xml:space="preserve"> – w procesie przygotowania planu miejscowego uwzględniono prawo własności poprzez wyłożenia projektu planu do publicznego wglądu, w trakcie których uwzględniono w maksymalny możliwy sposób uwagi zainteresowanych osób. 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Wskazać jednak</w:t>
      </w:r>
      <w:r>
        <w:rPr>
          <w:color w:val="000000"/>
          <w:szCs w:val="20"/>
          <w:u w:color="000000"/>
        </w:rPr>
        <w:t xml:space="preserve"> należy, iż ustalenia planu miejscowego niewątpliwie wyznaczają sposób korzystania z nieruchomości, między innymi poprzez ustalenia, co do przeznaczenia terenu, czy zasad ochrony i kształtowania ładu przestrzennego, parametrów i wskaźników kształtowania za</w:t>
      </w:r>
      <w:r>
        <w:rPr>
          <w:color w:val="000000"/>
          <w:szCs w:val="20"/>
          <w:u w:color="000000"/>
        </w:rPr>
        <w:t>budowy oraz zagospodarowania terenu. I tak, przedmiotowy plan przewiduje ograniczenia przy zagospodarowaniu terenu i lokalizowaniu obiektów budowlanych w pasie technologicznym linii elektroenergetycznej, a także w strefie bezpieczeństwa dla rurociągów prze</w:t>
      </w:r>
      <w:r>
        <w:rPr>
          <w:color w:val="000000"/>
          <w:szCs w:val="20"/>
          <w:u w:color="000000"/>
        </w:rPr>
        <w:t>syłowych dalekosiężnych. Zarówno linia energetyczna, jak i rurociąg są istniejącymi elementami infrastruktury technicznej, wobec tego ograniczenia w użytkowaniu terenu nie są nowymi ustaleniami planu – nie zwiększają ograniczeń w korzystaniu z nieruchomośc</w:t>
      </w:r>
      <w:r>
        <w:rPr>
          <w:color w:val="000000"/>
          <w:szCs w:val="20"/>
          <w:u w:color="000000"/>
        </w:rPr>
        <w:t>i w dotychczasowy sposób lub zgodny z dotychczasowym przeznaczeniem.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Plan wyznacza również lokalizację nowych dróg wewnętrznych, co jest niezbędne do prawidłowego skomunikowania obszaru i umożliwienia dostępu do dróg publicznych;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potrzeby obronności i bez</w:t>
      </w:r>
      <w:r>
        <w:rPr>
          <w:b/>
          <w:color w:val="000000"/>
          <w:szCs w:val="20"/>
          <w:u w:color="000000"/>
        </w:rPr>
        <w:t>pieczeństwa państwa</w:t>
      </w:r>
      <w:r>
        <w:rPr>
          <w:color w:val="000000"/>
          <w:szCs w:val="20"/>
          <w:u w:color="000000"/>
        </w:rPr>
        <w:t xml:space="preserve"> – nie dotyczy, w obrębie obszaru planu nie znajdują się tereny i obiekty spełniające potrzeby obronności i bezpieczeństwa państwa;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potrzeby interesu publicznego</w:t>
      </w:r>
      <w:r>
        <w:rPr>
          <w:color w:val="000000"/>
          <w:szCs w:val="20"/>
          <w:u w:color="000000"/>
        </w:rPr>
        <w:t xml:space="preserve"> – w planie ustala się tereny zabudowy usługowej, oznaczone symbolem „Up1”,</w:t>
      </w:r>
      <w:r>
        <w:rPr>
          <w:color w:val="000000"/>
          <w:szCs w:val="20"/>
          <w:u w:color="000000"/>
        </w:rPr>
        <w:t xml:space="preserve"> na których przeznaczenie podstawowe stanowią usługi publiczne, a przeznaczenie uzupełniające – tereny sportu i rekreacji oraz tereny dróg publicznych, oznaczone symbolami KDGP, KDZ i KDL, jako tereny przeznaczone do realizacji celów publicznych związanych</w:t>
      </w:r>
      <w:r>
        <w:rPr>
          <w:color w:val="000000"/>
          <w:szCs w:val="20"/>
          <w:u w:color="000000"/>
        </w:rPr>
        <w:t xml:space="preserve"> z budową i utrzymaniem dróg publicznych. Zgodnie z ustaleniami planu - tereny dróg publicznych przeznaczone są także do realizacji celów związanych z budową i utrzymaniem obiektów i urządzeń infrastruktury technicznej;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potrzeby w zakresie rozwoju infrast</w:t>
      </w:r>
      <w:r>
        <w:rPr>
          <w:b/>
          <w:color w:val="000000"/>
          <w:szCs w:val="20"/>
          <w:u w:color="000000"/>
        </w:rPr>
        <w:t>ruktury technicznej, w szczególności sieci szerokopasmowych</w:t>
      </w:r>
      <w:r>
        <w:rPr>
          <w:color w:val="000000"/>
          <w:szCs w:val="20"/>
          <w:u w:color="000000"/>
        </w:rPr>
        <w:t xml:space="preserve"> – plan wyznacza teren istniejącej infrastruktury elektroenergetycznej, a także rurociągu przesyłowego dalekosiężnego, a w ramach uzupełniającego sposobu zagospodarowania pozostałych terenów dopusz</w:t>
      </w:r>
      <w:r>
        <w:rPr>
          <w:color w:val="000000"/>
          <w:szCs w:val="20"/>
          <w:u w:color="000000"/>
        </w:rPr>
        <w:t>cza się realizację sieci, przyłączy i urządzeń infrastruktury technicznej. W zakresie telekomunikacji plan dopuszcza sytuowanie urządzeń oraz prowadzenie podziemnej sieci infrastruktury technicznej stanowiącej cele publiczne, w rozumieniu ustawy o gospodar</w:t>
      </w:r>
      <w:r>
        <w:rPr>
          <w:color w:val="000000"/>
          <w:szCs w:val="20"/>
          <w:u w:color="000000"/>
        </w:rPr>
        <w:t>ce nieruchomościami, w granicach działek budowlanych i dróg;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zapewnienie udziału społeczeństwa w pracach nad miejscowym planem zagospodarowania przestrzennego, w tym przy użyciu środków komunikacji elektronicznej</w:t>
      </w:r>
      <w:r>
        <w:rPr>
          <w:color w:val="000000"/>
          <w:szCs w:val="20"/>
          <w:u w:color="000000"/>
        </w:rPr>
        <w:t xml:space="preserve"> – organ sporządzający plan zapewnił udział społeczeństwa w opracowywaniu projektu planu miejscowego wraz z prognozą oddziaływania na środowisko, poprzez ogłoszenie o przystąpieniu do sporządzenia planu miejscowego i prognozy oddziaływania na środowisko, u</w:t>
      </w:r>
      <w:r>
        <w:rPr>
          <w:color w:val="000000"/>
          <w:szCs w:val="20"/>
          <w:u w:color="000000"/>
        </w:rPr>
        <w:t>możliwienie składania uwag i wniosków, wyłożenie do publicznego wglądu projektu planu wraz z prognozą oddziaływania na środowisko oraz zorganizowanie publicznej dyskusji nad przyjętymi w projekcie planu rozwiązaniami. Wersja elektroniczna projektu planu ud</w:t>
      </w:r>
      <w:r>
        <w:rPr>
          <w:color w:val="000000"/>
          <w:szCs w:val="20"/>
          <w:u w:color="000000"/>
        </w:rPr>
        <w:t xml:space="preserve">ostępniona została na </w:t>
      </w:r>
      <w:r>
        <w:rPr>
          <w:color w:val="000000"/>
          <w:szCs w:val="20"/>
          <w:u w:color="000000"/>
        </w:rPr>
        <w:lastRenderedPageBreak/>
        <w:t>stronie internetowej gminy Nieporęt, w sposób pozwalający na zidentyfikowanie położenia i przeznaczenia danej nieruchomości w projekcie planu;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zachowanie jawności i przejrzystości procedur planistycznych</w:t>
      </w:r>
      <w:r>
        <w:rPr>
          <w:color w:val="000000"/>
          <w:szCs w:val="20"/>
          <w:u w:color="000000"/>
        </w:rPr>
        <w:t>: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Uchwałę Nr XXXIX/27/2013 w s</w:t>
      </w:r>
      <w:r>
        <w:rPr>
          <w:color w:val="000000"/>
          <w:szCs w:val="20"/>
          <w:u w:color="000000"/>
        </w:rPr>
        <w:t>prawie przystąpienia do sporządzenia projektu „Miejscowego planu zagospodarowania przestrzennego dla obszaru sołectwa Stanisławów Drugi, w gminie Nieporęt” Rada Gminy Nieporęt podjęła w dniu 25 marca 2013 r. Następnie zgodnie z art. 17 ustawy z dnia 27 mar</w:t>
      </w:r>
      <w:r>
        <w:rPr>
          <w:color w:val="000000"/>
          <w:szCs w:val="20"/>
          <w:u w:color="000000"/>
        </w:rPr>
        <w:t xml:space="preserve">ca 2003 r.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Wójt Gminy Nieporęt kolejno: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-ogłosił w miejscowej prasie oraz przez obwieszczenie o podjęciu uchwały o przystąpieniu do sporządzenia ww. planu miejscowego wraz z prognozą oddziaływania na środowisko</w:t>
      </w:r>
      <w:r>
        <w:rPr>
          <w:color w:val="000000"/>
          <w:szCs w:val="20"/>
          <w:u w:color="000000"/>
        </w:rPr>
        <w:t>, określając formę, miejsce i termin składania wniosków do planu,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-zawiadomił na piśmie o podjęciu uchwały o przystąpieniu do sporządzenia ww. planu miejscowego oraz prognozy oddziaływania na środowisko instytucje i organy właściwe do uzgadniania i opiniow</w:t>
      </w:r>
      <w:r>
        <w:rPr>
          <w:color w:val="000000"/>
          <w:szCs w:val="20"/>
          <w:u w:color="000000"/>
        </w:rPr>
        <w:t>ania planu,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-wystąpił do Regionalnego Dyrektora Ochrony Środowiska i Państwowego Powiatowego Inspektora Sanitarnego o uzgodnienie zakresu i stopnia szczegółowości informacji koniecznych do ujęcia w prognozie oddziaływania na środowisko,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-rozpatrzył złożone</w:t>
      </w:r>
      <w:r>
        <w:rPr>
          <w:color w:val="000000"/>
          <w:szCs w:val="20"/>
          <w:u w:color="000000"/>
        </w:rPr>
        <w:t xml:space="preserve"> wnioski,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-sporządził projekt planu miejscowego wraz z prognozą oddziaływania na środowisko,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-sporządził prognozę skutków finansowych uchwalenia planu miejscowego,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-uzyskał wymagane ustawą opinie i uzgodnienia projektu planu oraz prognozy oddziaływania na </w:t>
      </w:r>
      <w:r>
        <w:rPr>
          <w:color w:val="000000"/>
          <w:szCs w:val="20"/>
          <w:u w:color="000000"/>
        </w:rPr>
        <w:t>środowisko,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-wprowadził zmiany wynikające z uzyskanych opinii i dokonanych uzgodnień,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-ogłosił o wyłożeniu projektu planu wraz z prognozą oddziaływania na środowisko do publicznego wglądu na co najmniej 7 dni przed dniem wyłożenia i wyłożył ten projekt wra</w:t>
      </w:r>
      <w:r>
        <w:rPr>
          <w:color w:val="000000"/>
          <w:szCs w:val="20"/>
          <w:u w:color="000000"/>
        </w:rPr>
        <w:t>z z prognozą oddziaływania na środowisko do publicznego wglądu w okresie: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Øod</w:t>
      </w:r>
      <w:proofErr w:type="spellEnd"/>
      <w:r>
        <w:rPr>
          <w:color w:val="000000"/>
          <w:szCs w:val="20"/>
          <w:u w:color="000000"/>
        </w:rPr>
        <w:t xml:space="preserve"> 10 lutego do 10 marca 2020 r., a w dniu 2 marca 2020 r. zorganizował dyskusję publiczną nad przyjętymi w projekcie planu rozwiązaniami,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Øod</w:t>
      </w:r>
      <w:proofErr w:type="spellEnd"/>
      <w:r>
        <w:rPr>
          <w:color w:val="000000"/>
          <w:szCs w:val="20"/>
          <w:u w:color="000000"/>
        </w:rPr>
        <w:t xml:space="preserve"> 12 października do 10 listopada 2020 r</w:t>
      </w:r>
      <w:r>
        <w:rPr>
          <w:color w:val="000000"/>
          <w:szCs w:val="20"/>
          <w:u w:color="000000"/>
        </w:rPr>
        <w:t>., a w dniu 19 października 2020 r. zorganizował dyskusję publiczną nad przyjętymi w projekcie planu rozwiązaniami,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-wyznaczył termin do 24.03.2020 r. (w okresie pierwszego wyłożenia projektu planu) oraz do 25.11.2020 r. (w okresie drugiego wyłożenia proje</w:t>
      </w:r>
      <w:r>
        <w:rPr>
          <w:color w:val="000000"/>
          <w:szCs w:val="20"/>
          <w:u w:color="000000"/>
        </w:rPr>
        <w:t>ktu planu), w którym osoby fizyczne i prawne oraz jednostki organizacyjne nie posiadające osobowości prawnej mogły wnieść uwagi dotyczące projektu planu i prognozy oddziaływania na środowisko. Podczas dwóch wyłożeń do publicznego wglądu do projektu planu m</w:t>
      </w:r>
      <w:r>
        <w:rPr>
          <w:color w:val="000000"/>
          <w:szCs w:val="20"/>
          <w:u w:color="000000"/>
        </w:rPr>
        <w:t>iejscowego wniesiono 18 uwag. W wyniku rozpatrzenia przez Wójta Gminy Nieporęt – 8 uwag zostało uwzględnionych, 3 uwagi zostały odrzucone, a 7 uwag zostało uwzględnionych w części. Informacje o tych działaniach były przekazywane do publicznej wiadomości w </w:t>
      </w:r>
      <w:r>
        <w:rPr>
          <w:color w:val="000000"/>
          <w:szCs w:val="20"/>
          <w:u w:color="000000"/>
        </w:rPr>
        <w:t xml:space="preserve">sposób określony w ustawie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>, w tym także przy użyciu środków komunikacji elektronicznej. Dokumentacja prac planistycznych pozostaje dostępna do wglądu w celu zachowania jawności i przejrzystości procedur planist</w:t>
      </w:r>
      <w:r>
        <w:rPr>
          <w:color w:val="000000"/>
          <w:szCs w:val="20"/>
          <w:u w:color="000000"/>
        </w:rPr>
        <w:t xml:space="preserve">ycznych; 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potrzebę zapewnienia odpowiedniej ilości i jakości wody, do celów zaopatrzenia ludności</w:t>
      </w:r>
      <w:r>
        <w:rPr>
          <w:color w:val="000000"/>
          <w:szCs w:val="20"/>
          <w:u w:color="000000"/>
        </w:rPr>
        <w:t xml:space="preserve"> – zgodnie z ustaleniami planu ustala się podłączenie instalacji wodociągowej zasilającej nowo projektowane tereny do wodociągu działającego na bazie istnieją</w:t>
      </w:r>
      <w:r>
        <w:rPr>
          <w:color w:val="000000"/>
          <w:szCs w:val="20"/>
          <w:u w:color="000000"/>
        </w:rPr>
        <w:t>cego ujęcia i stacji uzdatniania wody. Dla nieruchomości, które usytuowane są poza zasięgiem sieci wodociągowej dopuszcza się zaopatrzenie w wodę z indywidualnych ujęć wody. Plan nakazuje zapewnić zaopatrzenie w wodę dla celów gaśniczych zgodnie z przepisa</w:t>
      </w:r>
      <w:r>
        <w:rPr>
          <w:color w:val="000000"/>
          <w:szCs w:val="20"/>
          <w:u w:color="000000"/>
        </w:rPr>
        <w:t>mi o ochronie przeciwpożarowej. Plan ustala też przekrój dla sieci wodociągowej – nie mniej niż 40 mm, a przekrój dla sieci wodociągowej wykorzystywanej dla celów ppoż. – zgodnie z przepisami odrębnymi.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lastRenderedPageBreak/>
        <w:t xml:space="preserve">Sposób realizacji wymogów wynikających z art. 1 </w:t>
      </w:r>
      <w:r>
        <w:rPr>
          <w:b/>
          <w:color w:val="000000"/>
          <w:szCs w:val="20"/>
          <w:u w:color="000000"/>
        </w:rPr>
        <w:t>ust. 3 ustawy o planowaniu i zagospodarowaniu przestrzennym: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Ustalając przeznaczenie terenu organ </w:t>
      </w:r>
      <w:r>
        <w:rPr>
          <w:b/>
          <w:color w:val="000000"/>
          <w:szCs w:val="20"/>
          <w:u w:color="000000"/>
        </w:rPr>
        <w:t>rozważył interes publiczny i interesy prywatne</w:t>
      </w:r>
      <w:r>
        <w:rPr>
          <w:color w:val="000000"/>
          <w:szCs w:val="20"/>
          <w:u w:color="000000"/>
        </w:rPr>
        <w:t xml:space="preserve">, w tym wnioski zgłaszane do projektu planu, zmierzające do ochrony istniejącego stanu zagospodarowania terenu, </w:t>
      </w:r>
      <w:r>
        <w:rPr>
          <w:color w:val="000000"/>
          <w:szCs w:val="20"/>
          <w:u w:color="000000"/>
        </w:rPr>
        <w:t>jak i zmian w zakresie jego zagospodarowania, a także analizy ekonomiczne, środowiskowe i społeczne. Zaprojektowane rozwiązania planu są zgodne z oczekiwaniami mieszkańców w granicach dopuszczonych ustaleniami „Studium uwarunkowań i kierunków zagospodarowa</w:t>
      </w:r>
      <w:r>
        <w:rPr>
          <w:color w:val="000000"/>
          <w:szCs w:val="20"/>
          <w:u w:color="000000"/>
        </w:rPr>
        <w:t>nia przestrzennego gminy Nieporęt”, uchwalonego w dniu 09.06.2011 r. uchwałą Rady Gminy Nieporęt Nr X/46/2011, umożliwiając im zabudowę i zagospodarowanie nieruchomości na cele mieszkaniowe z możliwością prowadzenia nieuciążliwej działalności gospodarczej,</w:t>
      </w:r>
      <w:r>
        <w:rPr>
          <w:color w:val="000000"/>
          <w:szCs w:val="20"/>
          <w:u w:color="000000"/>
        </w:rPr>
        <w:t xml:space="preserve"> tj. prowadzona działalność nie może powodować przekroczenia dopuszczalnych standardów jakości środowiska poza granice działki, do której prowadzący działalność gospodarczą posiada tytuł prawny, określonych w przepisach odrębnych. 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Interes publiczny</w:t>
      </w:r>
      <w:r>
        <w:rPr>
          <w:color w:val="000000"/>
          <w:szCs w:val="20"/>
          <w:u w:color="000000"/>
        </w:rPr>
        <w:t xml:space="preserve"> został</w:t>
      </w:r>
      <w:r>
        <w:rPr>
          <w:color w:val="000000"/>
          <w:szCs w:val="20"/>
          <w:u w:color="000000"/>
        </w:rPr>
        <w:t xml:space="preserve"> uwzględniony poprzez „utrwalenie” istniejących już sieci dróg publicznych. Układ dróg publicznych wraz z dojazdami zapewniają nie tylko bezpośrednią obsługę nieruchomości, ale także zabezpieczają możliwość racjonalnego poprowadzenia sieci infrastruktury t</w:t>
      </w:r>
      <w:r>
        <w:rPr>
          <w:color w:val="000000"/>
          <w:szCs w:val="20"/>
          <w:u w:color="000000"/>
        </w:rPr>
        <w:t xml:space="preserve">echnicznej. 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interesie publicznym jest również pozostawienie dotychczasowej funkcji zieleni dla terenów części obszaru przy Kanale Bródnowskim, na której dopuszcza się też m.in. budowę i utrzymanie ścieżek oraz budowę i utrzymanie chodników lub ciągów pi</w:t>
      </w:r>
      <w:r>
        <w:rPr>
          <w:color w:val="000000"/>
          <w:szCs w:val="20"/>
          <w:u w:color="000000"/>
        </w:rPr>
        <w:t>eszo-rowerowych.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 ust. 4 ustawy o planowaniu i zagospodarowaniu przestrzennym: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ustaleniach projektu planu dążono do minimalizowania transportochłonności układu przestrzennego. Miejscowy plan obejmuje tereny </w:t>
      </w:r>
      <w:r>
        <w:rPr>
          <w:color w:val="000000"/>
          <w:szCs w:val="20"/>
          <w:u w:color="000000"/>
        </w:rPr>
        <w:t>częściowo już zabudowane - stanowi częściowo zwartą strukturę funkcjonalno-przestrzenną. Zabudowa zlokalizowana jest po obu stronach ulicy Wolskiej oraz w południowej części obszaru na terenach przylegających do wsi Grudzie, wzdłuż ulicy Łąkowej i Radosnej</w:t>
      </w:r>
      <w:r>
        <w:rPr>
          <w:color w:val="000000"/>
          <w:szCs w:val="20"/>
          <w:u w:color="000000"/>
        </w:rPr>
        <w:t>. Istniejący układ komunikacyjny został uzupełniony o drogi wewnętrzne, w celu obsłużenia całego terenu objętego planem. Dla zapewnienia odpowiedniej obsługi komunikacyjnej obszaru objętego planem, w treści uchwały ustalono minimalne wskaźniki dla miejsc d</w:t>
      </w:r>
      <w:r>
        <w:rPr>
          <w:color w:val="000000"/>
          <w:szCs w:val="20"/>
          <w:u w:color="000000"/>
        </w:rPr>
        <w:t>o parkowania. Nowa zabudowa mieszkaniowa została zlokalizowana w sposób umożliwiający mieszkańcom maksymalne wykorzystanie publicznego transportu zbiorowego jako podstawowego środka transportu.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analizy, o której mowa w art. 32 ust. 1. u</w:t>
      </w:r>
      <w:r>
        <w:rPr>
          <w:b/>
          <w:color w:val="000000"/>
          <w:szCs w:val="20"/>
          <w:u w:color="000000"/>
        </w:rPr>
        <w:t>stawy o planowaniu i zagospodarowaniu przestrzennym: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Ocena aktualności studium i planów miejscowych obowiązujących na terenie gminy Nieporęt, przyjęta uchwałą Nr LVII/123/2010 Rady Gminy Nieporęt z dnia 4 listopada 2010 r. wykazała, że obowiązujące w obsza</w:t>
      </w:r>
      <w:r>
        <w:rPr>
          <w:color w:val="000000"/>
          <w:szCs w:val="20"/>
          <w:u w:color="000000"/>
        </w:rPr>
        <w:t>rze objętym planem plany miejscowe są częściowo nieaktualne. Tym samym uznano, że przystąpienie (na podstawie uchwały Rady Gminy Nieporęt Nr XXXIX/27/2013 Rady Gminy Nieporęt z dnia 25 marca 2013 r) do opracowania przedmiotowego planu zagospodarowania prze</w:t>
      </w:r>
      <w:r>
        <w:rPr>
          <w:color w:val="000000"/>
          <w:szCs w:val="20"/>
          <w:u w:color="000000"/>
        </w:rPr>
        <w:t>strzennego było zasadne. Natomiast ocena aktualności studium i planów miejscowych, przyjęta uchwałą Nr XLIV/64/2017 z dnia 29.06.2017 r., wykazała potrzebę kontynuacji prac nad opracowywaniem przedmiotowego planu. Tym samym uznano, że prace nad przedmiotow</w:t>
      </w:r>
      <w:r>
        <w:rPr>
          <w:color w:val="000000"/>
          <w:szCs w:val="20"/>
          <w:u w:color="000000"/>
        </w:rPr>
        <w:t>ym miejscowym planem zagospodarowania przestrzennego, zapoczątkowane uchwałą z dnia 25 marca 2013 r., są zasadne i należy dążyć do uchwalenia planu.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Wpływ na finanse publiczne, w tym budżet gminy: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Analizę wpływu ustaleń planu na finanse publiczne, w tym bu</w:t>
      </w:r>
      <w:r>
        <w:rPr>
          <w:color w:val="000000"/>
          <w:szCs w:val="20"/>
          <w:u w:color="000000"/>
        </w:rPr>
        <w:t xml:space="preserve">dżet gminy przeprowadzono w toku </w:t>
      </w:r>
      <w:proofErr w:type="spellStart"/>
      <w:r>
        <w:rPr>
          <w:color w:val="000000"/>
          <w:szCs w:val="20"/>
          <w:u w:color="000000"/>
        </w:rPr>
        <w:t>opracowyania</w:t>
      </w:r>
      <w:proofErr w:type="spellEnd"/>
      <w:r>
        <w:rPr>
          <w:color w:val="000000"/>
          <w:szCs w:val="20"/>
          <w:u w:color="000000"/>
        </w:rPr>
        <w:t xml:space="preserve"> prognozy skutków finansowych uchwalenia planu, wykonanej na podstawie przepisu art. 17 pkt 5 ustawy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>. Źródłem wpływów dla budżetu Gminy będzie: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-wzrost podatków od n</w:t>
      </w:r>
      <w:r>
        <w:rPr>
          <w:color w:val="000000"/>
          <w:szCs w:val="20"/>
          <w:u w:color="000000"/>
        </w:rPr>
        <w:t>ieruchomości gruntowych,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-dochody z podatku od budynków,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dochody z tytułu opłaty </w:t>
      </w:r>
      <w:proofErr w:type="spellStart"/>
      <w:r>
        <w:rPr>
          <w:color w:val="000000"/>
          <w:szCs w:val="20"/>
          <w:u w:color="000000"/>
        </w:rPr>
        <w:t>adiacenckiej</w:t>
      </w:r>
      <w:proofErr w:type="spellEnd"/>
      <w:r>
        <w:rPr>
          <w:color w:val="000000"/>
          <w:szCs w:val="20"/>
          <w:u w:color="000000"/>
        </w:rPr>
        <w:t xml:space="preserve"> w związku z budową infrastruktury technicznej,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-dochody z tytułu opłaty </w:t>
      </w:r>
      <w:proofErr w:type="spellStart"/>
      <w:r>
        <w:rPr>
          <w:color w:val="000000"/>
          <w:szCs w:val="20"/>
          <w:u w:color="000000"/>
        </w:rPr>
        <w:t>adiacenckiej</w:t>
      </w:r>
      <w:proofErr w:type="spellEnd"/>
      <w:r>
        <w:rPr>
          <w:color w:val="000000"/>
          <w:szCs w:val="20"/>
          <w:u w:color="000000"/>
        </w:rPr>
        <w:t xml:space="preserve"> w związku z podziałem nieruchomości,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-wpływy z podatku od czynności </w:t>
      </w:r>
      <w:r>
        <w:rPr>
          <w:color w:val="000000"/>
          <w:szCs w:val="20"/>
          <w:u w:color="000000"/>
        </w:rPr>
        <w:t>cywilnoprawnych,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-dochody z tytułu opłaty planistycznej.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ze sporządzoną prognozą skutków finansowych uchwalenia planu – prognozuje się nieznaczny zysk związany z wprowadzeniem planu w życie. Wskazane w opracowaniu koszty i wpływy nie wystąpią natyc</w:t>
      </w:r>
      <w:r>
        <w:rPr>
          <w:color w:val="000000"/>
          <w:szCs w:val="20"/>
          <w:u w:color="000000"/>
        </w:rPr>
        <w:t>hmiast i skutki finansowe mogą być odczuwalne w dużo szerszej perspektywie czasowej (np. 5-10 lat). Wpływ do budżetu z tytułu wzrostu wartości nieruchomości można spodziewać się w terminie do pięciu lat od dnia wejścia planu w życie.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Szacowany wpływ z obsz</w:t>
      </w:r>
      <w:r>
        <w:rPr>
          <w:color w:val="000000"/>
          <w:szCs w:val="20"/>
          <w:u w:color="000000"/>
        </w:rPr>
        <w:t>aru objętego planem będzie związany głównie z wpływami z opłaty planistycznej, podatku od nieruchomości oraz opłaty od czynności cywilno-prawnych. Najbardziej istotnymi wydatkami gminy będą koszty uzbrojenia terenu, w tym budowa infrastruktury wodociągowo-</w:t>
      </w:r>
      <w:r>
        <w:rPr>
          <w:color w:val="000000"/>
          <w:szCs w:val="20"/>
          <w:u w:color="000000"/>
        </w:rPr>
        <w:t>kanalizacyjnej.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Należy jednak pamiętać, że celem gospodarki przestrzennej nie jest na ogół maksymalizacja efektu ekonomicznego; podstawą jest uporządkowanie przestrzeni, dobór funkcji do otoczenia z uwzględnieniem czynników przyrodniczych i krajobrazowych.</w:t>
      </w:r>
      <w:r>
        <w:rPr>
          <w:color w:val="000000"/>
          <w:szCs w:val="20"/>
          <w:u w:color="000000"/>
        </w:rPr>
        <w:t xml:space="preserve"> Przekształcenie analizowanego obszaru na tereny zabudowy mieszkaniowej jednorodzinnej i usługi stanowić będzie inwestycję korzystną dla gminy, która jest zgodna z przyjętymi założeniami polityki przestrzennej wyrażonymi w Studium uwarunkowań i kierunków z</w:t>
      </w:r>
      <w:r>
        <w:rPr>
          <w:color w:val="000000"/>
          <w:szCs w:val="20"/>
          <w:u w:color="000000"/>
        </w:rPr>
        <w:t xml:space="preserve">agospodarowania przestrzennego Gminy Nieporęt. Rozwój nowej zabudowy wzbogaci strukturę </w:t>
      </w:r>
      <w:proofErr w:type="spellStart"/>
      <w:r>
        <w:rPr>
          <w:color w:val="000000"/>
          <w:szCs w:val="20"/>
          <w:u w:color="000000"/>
        </w:rPr>
        <w:t>funkcjonalno</w:t>
      </w:r>
      <w:proofErr w:type="spellEnd"/>
      <w:r>
        <w:rPr>
          <w:color w:val="000000"/>
          <w:szCs w:val="20"/>
          <w:u w:color="000000"/>
        </w:rPr>
        <w:t xml:space="preserve"> – przestrzenną gminy i wpłynie na jej atrakcyjność pod względem inwestycyjnym.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Podsumowując należy stwierdzić, iż „Miejscowy plan zagospodarowania przestrz</w:t>
      </w:r>
      <w:r>
        <w:rPr>
          <w:color w:val="000000"/>
          <w:szCs w:val="20"/>
          <w:u w:color="000000"/>
        </w:rPr>
        <w:t>ennego dla obszaru sołectwa Stanisławów Drugi, w gminie Nieporęt” przedłożony do uchwalenia, jest zgodny z polityką przestrzenną gminy oraz właściwymi ustawami i przepisami szczególnymi, nie pozostając w sprzeczności z interesem publicznym, a uwzględniając</w:t>
      </w:r>
      <w:r>
        <w:rPr>
          <w:color w:val="000000"/>
          <w:szCs w:val="20"/>
          <w:u w:color="000000"/>
        </w:rPr>
        <w:t xml:space="preserve"> wymagania ochrony środowiska tworzy podstawę do realizacji celu, jakim jest ład przestrzennym i zrównoważony rozwój gminy.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podstawie art. 17 pkt 14 ustawy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– Wójt Gminy Nieporęt przedstawia Radzie Gminy Niep</w:t>
      </w:r>
      <w:r>
        <w:rPr>
          <w:color w:val="000000"/>
          <w:szCs w:val="20"/>
          <w:u w:color="000000"/>
        </w:rPr>
        <w:t xml:space="preserve">oręt projekt planu miejscowego wraz z listą nieuwzględnionych uwag. Rozstrzygnięcie o sposobie rozpatrzenia uwag stanowi załącznik Nr 2 do uchwały w sprawie planu. 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Przedstawiony do uchwalenia projekt „Miejscowego planu zagospodarowania przestrzennego dla </w:t>
      </w:r>
      <w:r>
        <w:rPr>
          <w:color w:val="000000"/>
          <w:szCs w:val="20"/>
          <w:u w:color="000000"/>
        </w:rPr>
        <w:t xml:space="preserve">obszaru sołectwa Stanisławów Drugi, w gminie Nieporęt” powstał po przeprowadzeniu pełnej procedury planistycznej, zgodnie z art. 17 ustawy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>. Posiada on niezbędne opinie i uzgodnienia, a jego uchwalenie przyczyni</w:t>
      </w:r>
      <w:r>
        <w:rPr>
          <w:color w:val="000000"/>
          <w:szCs w:val="20"/>
          <w:u w:color="000000"/>
        </w:rPr>
        <w:t xml:space="preserve"> się do lepszego wykorzystania funkcji obszaru, a w rezultacie – do aktywizacji procesów inwestycyjnych na przedmiotowym terenie i polepszenia sytuacji mieszkaniowej właścicieli nieruchomości.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przygotowywania projektu planu wykorzystano opracowania spor</w:t>
      </w:r>
      <w:r>
        <w:rPr>
          <w:color w:val="000000"/>
          <w:szCs w:val="20"/>
          <w:u w:color="000000"/>
        </w:rPr>
        <w:t xml:space="preserve">ządzone w toku procedury planistycznej, tj.: „Opracowanie </w:t>
      </w:r>
      <w:proofErr w:type="spellStart"/>
      <w:r>
        <w:rPr>
          <w:color w:val="000000"/>
          <w:szCs w:val="20"/>
          <w:u w:color="000000"/>
        </w:rPr>
        <w:t>ekofizjograficzne</w:t>
      </w:r>
      <w:proofErr w:type="spellEnd"/>
      <w:r>
        <w:rPr>
          <w:color w:val="000000"/>
          <w:szCs w:val="20"/>
          <w:u w:color="000000"/>
        </w:rPr>
        <w:t>”, „Prognozę oddziaływania na środowisko” oraz „Prognozę skutków finansowych uchwalenia planu”, wymagane odpowiednimi przepisami, w tym przepisami: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art. 46 i art. 51 ustawy z dnia</w:t>
      </w:r>
      <w:r>
        <w:rPr>
          <w:color w:val="000000"/>
          <w:szCs w:val="20"/>
          <w:u w:color="000000"/>
        </w:rPr>
        <w:t xml:space="preserve"> 3 października 2008 r. o udostępnianiu informacji o środowisku i jego ochronie, udziale społeczeństwa w ochronie środowiska oraz o ocenach oddziaływania na środowisko (Dz.U. z 2020 r. poz. 283, z późn.zm.) - </w:t>
      </w:r>
      <w:r>
        <w:rPr>
          <w:i/>
          <w:color w:val="000000"/>
          <w:szCs w:val="20"/>
          <w:u w:color="000000"/>
        </w:rPr>
        <w:t>Przeprowadzenia strategicznej oceny oddziaływan</w:t>
      </w:r>
      <w:r>
        <w:rPr>
          <w:i/>
          <w:color w:val="000000"/>
          <w:szCs w:val="20"/>
          <w:u w:color="000000"/>
        </w:rPr>
        <w:t>ia na środowisko wymagają projekty: (…) planów zagospodarowania przestrzennego (…). Organ opracowujący projekt dokumentu, o którym mowa w art. 46 lub 47, sporządza prognozę oddziaływania na środowisko</w:t>
      </w:r>
      <w:r>
        <w:rPr>
          <w:color w:val="000000"/>
          <w:szCs w:val="20"/>
          <w:u w:color="000000"/>
        </w:rPr>
        <w:t>;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art. 72 ust. 1–5 ustawy z dnia 27 kwietnia 2001 r. P</w:t>
      </w:r>
      <w:r>
        <w:rPr>
          <w:color w:val="000000"/>
          <w:szCs w:val="20"/>
          <w:u w:color="000000"/>
        </w:rPr>
        <w:t xml:space="preserve">rawo ochrony środowiska (Dz. U. z 2020 r. poz. 1219, z późn.zm.) – </w:t>
      </w:r>
      <w:r>
        <w:rPr>
          <w:i/>
          <w:color w:val="000000"/>
          <w:szCs w:val="20"/>
          <w:u w:color="000000"/>
        </w:rPr>
        <w:t>W studium uwarunkowań i kierunków zagospodarowania przestrzennego gmin oraz miejscowych planach zagospodarowania przestrzennego zapewnia się warunki utrzymania równowagi przyrodniczej i rac</w:t>
      </w:r>
      <w:r>
        <w:rPr>
          <w:i/>
          <w:color w:val="000000"/>
          <w:szCs w:val="20"/>
          <w:u w:color="000000"/>
        </w:rPr>
        <w:t>jonalną gospodarkę zasobami środowiska (…).W studium uwarunkowań i kierunków zagospodarowania przestrzennego gmin oraz w miejscowych planach zagospodarowania przestrzennego, przy przeznaczaniu terenów na poszczególne cele oraz przy określaniu zadań związan</w:t>
      </w:r>
      <w:r>
        <w:rPr>
          <w:i/>
          <w:color w:val="000000"/>
          <w:szCs w:val="20"/>
          <w:u w:color="000000"/>
        </w:rPr>
        <w:t xml:space="preserve">ych z ich zagospodarowaniem w strukturze wykorzystania terenu, ustala się proporcje pozwalające na zachowanie lub przywrócenie na nich równowagi przyrodniczej i prawidłowych warunków życia. W studium uwarunkowań i kierunków zagospodarowania przestrzennego </w:t>
      </w:r>
      <w:r>
        <w:rPr>
          <w:i/>
          <w:color w:val="000000"/>
          <w:szCs w:val="20"/>
          <w:u w:color="000000"/>
        </w:rPr>
        <w:t>gmin oraz w miejscowych planach zagospodarowania przestrzennego określa się także sposób zagospodarowania obszarów zdegradowanych w wyniku działalności człowieka, klęsk żywiołowych oraz ruchów masowych ziemi. Wymagania, o których mowa w ust. 1-3, określa s</w:t>
      </w:r>
      <w:r>
        <w:rPr>
          <w:i/>
          <w:color w:val="000000"/>
          <w:szCs w:val="20"/>
          <w:u w:color="000000"/>
        </w:rPr>
        <w:t xml:space="preserve">ię na podstawie opracowań </w:t>
      </w:r>
      <w:proofErr w:type="spellStart"/>
      <w:r>
        <w:rPr>
          <w:i/>
          <w:color w:val="000000"/>
          <w:szCs w:val="20"/>
          <w:u w:color="000000"/>
        </w:rPr>
        <w:t>ekofizjograficznych</w:t>
      </w:r>
      <w:proofErr w:type="spellEnd"/>
      <w:r>
        <w:rPr>
          <w:i/>
          <w:color w:val="000000"/>
          <w:szCs w:val="20"/>
          <w:u w:color="000000"/>
        </w:rPr>
        <w:t xml:space="preserve">, stosownie do rodzaju sporządzanego dokumentu, cech poszczególnych elementów </w:t>
      </w:r>
      <w:r>
        <w:rPr>
          <w:i/>
          <w:color w:val="000000"/>
          <w:szCs w:val="20"/>
          <w:u w:color="000000"/>
        </w:rPr>
        <w:lastRenderedPageBreak/>
        <w:t xml:space="preserve">przyrodniczych i ich wzajemnych powiązań.  Przez opracowanie </w:t>
      </w:r>
      <w:proofErr w:type="spellStart"/>
      <w:r>
        <w:rPr>
          <w:i/>
          <w:color w:val="000000"/>
          <w:szCs w:val="20"/>
          <w:u w:color="000000"/>
        </w:rPr>
        <w:t>ekofizjograficzne</w:t>
      </w:r>
      <w:proofErr w:type="spellEnd"/>
      <w:r>
        <w:rPr>
          <w:i/>
          <w:color w:val="000000"/>
          <w:szCs w:val="20"/>
          <w:u w:color="000000"/>
        </w:rPr>
        <w:t xml:space="preserve"> rozumie się dokumentację sporządzaną na potrzeby studi</w:t>
      </w:r>
      <w:r>
        <w:rPr>
          <w:i/>
          <w:color w:val="000000"/>
          <w:szCs w:val="20"/>
          <w:u w:color="000000"/>
        </w:rPr>
        <w:t xml:space="preserve">um uwarunkowań i kierunków zagospodarowania przestrzennego gminy, miejscowego planu zagospodarowania przestrzennego oraz planu zagospodarowania przestrzennego województwa, charakteryzującą poszczególne elementy przyrodnicze na obszarze objętym studium lub </w:t>
      </w:r>
      <w:r>
        <w:rPr>
          <w:i/>
          <w:color w:val="000000"/>
          <w:szCs w:val="20"/>
          <w:u w:color="000000"/>
        </w:rPr>
        <w:t>planem i ich wzajemne powiązania.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art.17 pkt 5 ustawy z dnia 27 marca 2003 r. o planowaniu i zagospodarowaniu przestrzennym - </w:t>
      </w:r>
      <w:r>
        <w:rPr>
          <w:i/>
          <w:color w:val="000000"/>
          <w:szCs w:val="20"/>
          <w:u w:color="000000"/>
        </w:rPr>
        <w:t>wójt, burmistrz albo prezydent miasta po podjęciu przez radę gminy uchwały o przystąpieniu do sporządzenia planu miejscowego (..</w:t>
      </w:r>
      <w:r>
        <w:rPr>
          <w:i/>
          <w:color w:val="000000"/>
          <w:szCs w:val="20"/>
          <w:u w:color="000000"/>
        </w:rPr>
        <w:t>) sporządza prognozę skutków finansowych uchwalenia planu miejscowego, z uwzględnieniem art. 36</w:t>
      </w:r>
      <w:r>
        <w:rPr>
          <w:color w:val="000000"/>
          <w:szCs w:val="20"/>
          <w:u w:color="000000"/>
        </w:rPr>
        <w:t>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Sesję Rady Gminy przedkłada się również projekt uchwały w sprawie stwierdzenia nie naruszania przez projekt planu ustaleń „Studium uwarunkowań i kierunków z</w:t>
      </w:r>
      <w:r>
        <w:rPr>
          <w:color w:val="000000"/>
          <w:szCs w:val="20"/>
          <w:u w:color="000000"/>
        </w:rPr>
        <w:t>agospodarowania przestrzennego gminy Nieporęt”, uchwalonego w dniu 9 czerwca 2011 r. uchwałą Rady Gminy Nieporęt Nr X/46/2011. Zgodnie bowiem z art. 20 ust. 1 ustawy z dnia 27 marca 2003 r. o planowaniu i zagospodarowaniu przestrzennym - „</w:t>
      </w:r>
      <w:r>
        <w:rPr>
          <w:i/>
          <w:color w:val="000000"/>
          <w:szCs w:val="20"/>
          <w:u w:color="000000"/>
        </w:rPr>
        <w:t>plan miejscowy uc</w:t>
      </w:r>
      <w:r>
        <w:rPr>
          <w:i/>
          <w:color w:val="000000"/>
          <w:szCs w:val="20"/>
          <w:u w:color="000000"/>
        </w:rPr>
        <w:t>hwala rada gminy, po stwierdzeniu, że nie narusza on ustaleń studium”.</w:t>
      </w:r>
      <w:r>
        <w:rPr>
          <w:color w:val="000000"/>
          <w:szCs w:val="20"/>
          <w:u w:color="000000"/>
        </w:rPr>
        <w:t xml:space="preserve"> W wyniku przeprowadzonej analizy stwierdzono, iż w Studium obszar objęty opracowaniem planu w przeważającej części stanowi teren zabudowy mieszkaniowej jednorodzinnej, z dopuszczeniem u</w:t>
      </w:r>
      <w:r>
        <w:rPr>
          <w:color w:val="000000"/>
          <w:szCs w:val="20"/>
          <w:u w:color="000000"/>
        </w:rPr>
        <w:t>sług nieuciążliwych, w tym - usług publicznych. Porównanie planowanych do wprowadzenia w nowym planie rozwiązań planistycznych wykazuje, iż nie naruszają one ustaleń Studium, co pozwala uznać, iż nowy plan będzie realizował kierunki rozwoju i kształtował o</w:t>
      </w:r>
      <w:r>
        <w:rPr>
          <w:color w:val="000000"/>
          <w:szCs w:val="20"/>
          <w:u w:color="000000"/>
        </w:rPr>
        <w:t>bszar w zakresie struktury przestrzennej, zgodnie z polityką zawartą w Studium. Uchwalenie planu przyczyni się do uporządkowania istniejącej zabudowy i systemu komunikacji drogowej oraz wyznaczenia nowych terenów pod inwestycje, w tym – pod zabudowę mieszk</w:t>
      </w:r>
      <w:r>
        <w:rPr>
          <w:color w:val="000000"/>
          <w:szCs w:val="20"/>
          <w:u w:color="000000"/>
        </w:rPr>
        <w:t>aniową jednorodzinną, przy jednoczesnym zachowaniu elementów przyrodniczych, chroniąc w maksymalnym stopniu wartości kulturowe i krajobrazowe obszaru.</w:t>
      </w: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powyższe, przyjęcie przez Radę Gminy Nieporęt niniejszej uchwały jest uzasadnione.</w:t>
      </w:r>
    </w:p>
    <w:p w:rsidR="00B03941" w:rsidRDefault="00B03941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B03941" w:rsidRDefault="001D083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Przyg</w:t>
      </w:r>
      <w:r>
        <w:rPr>
          <w:color w:val="000000"/>
          <w:szCs w:val="20"/>
          <w:u w:color="000000"/>
        </w:rPr>
        <w:t xml:space="preserve">otował: </w:t>
      </w:r>
      <w:proofErr w:type="spellStart"/>
      <w:r>
        <w:rPr>
          <w:color w:val="000000"/>
          <w:szCs w:val="20"/>
          <w:u w:color="000000"/>
        </w:rPr>
        <w:t>M.Czerski</w:t>
      </w:r>
      <w:proofErr w:type="spellEnd"/>
    </w:p>
    <w:sectPr w:rsidR="00B03941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32" w:rsidRDefault="001D0832">
      <w:r>
        <w:separator/>
      </w:r>
    </w:p>
  </w:endnote>
  <w:endnote w:type="continuationSeparator" w:id="0">
    <w:p w:rsidR="001D0832" w:rsidRDefault="001D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39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3941" w:rsidRDefault="001D083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3941" w:rsidRDefault="00B03941">
          <w:pPr>
            <w:jc w:val="left"/>
            <w:rPr>
              <w:sz w:val="18"/>
            </w:rPr>
          </w:pPr>
        </w:p>
      </w:tc>
    </w:tr>
  </w:tbl>
  <w:p w:rsidR="00B03941" w:rsidRDefault="00B0394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39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3941" w:rsidRDefault="001D083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3941" w:rsidRDefault="00B03941">
          <w:pPr>
            <w:jc w:val="left"/>
            <w:rPr>
              <w:sz w:val="18"/>
            </w:rPr>
          </w:pPr>
        </w:p>
      </w:tc>
    </w:tr>
  </w:tbl>
  <w:p w:rsidR="00B03941" w:rsidRDefault="00B039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32" w:rsidRDefault="001D0832">
      <w:r>
        <w:separator/>
      </w:r>
    </w:p>
  </w:footnote>
  <w:footnote w:type="continuationSeparator" w:id="0">
    <w:p w:rsidR="001D0832" w:rsidRDefault="001D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D0832"/>
    <w:rsid w:val="002F73F3"/>
    <w:rsid w:val="00A77B3E"/>
    <w:rsid w:val="00B0394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FD793"/>
  <w15:docId w15:val="{F7D74F46-A6EC-4617-A5FD-59E812E1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4986</Words>
  <Characters>29921</Characters>
  <Application>Microsoft Office Word</Application>
  <DocSecurity>0</DocSecurity>
  <Lines>249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stwierdzenia nie^naruszania przez projekt „Miejscowego planu zagospodarowania przestrzennego dla obszaru sołectwa Stanisławów Drugi, w^gminie Nieporęt” ustaleń „Studium uwarunkowań i^kierunków zagospodarowania przestrzennego gminy Nieporęt”</dc:subject>
  <dc:creator>w.dzwonek</dc:creator>
  <cp:lastModifiedBy>Wiktoria Dzwonek</cp:lastModifiedBy>
  <cp:revision>2</cp:revision>
  <dcterms:created xsi:type="dcterms:W3CDTF">2021-02-09T11:44:00Z</dcterms:created>
  <dcterms:modified xsi:type="dcterms:W3CDTF">2021-02-09T11:44:00Z</dcterms:modified>
  <cp:category>Akt prawny</cp:category>
</cp:coreProperties>
</file>