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BB6816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BB6816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BB6816">
      <w:pPr>
        <w:keepNext/>
        <w:spacing w:after="480"/>
        <w:jc w:val="center"/>
      </w:pPr>
      <w:r>
        <w:rPr>
          <w:b/>
        </w:rPr>
        <w:t>w sprawie Wieloletniego programu gospodarowania mieszkaniowym zasobem Gminy Nieporęt na lata 2021-2026</w:t>
      </w:r>
    </w:p>
    <w:p w:rsidR="00A77B3E" w:rsidRDefault="00BB6816">
      <w:pPr>
        <w:keepLines/>
        <w:spacing w:before="120" w:after="120"/>
        <w:ind w:firstLine="227"/>
      </w:pPr>
      <w:r>
        <w:t>Na podstawie art.18 ust. 2 pkt 15, art.40 ust.1 ustawy z dnia 8 </w:t>
      </w:r>
      <w:r>
        <w:t>marca 1990 r. o samorządzie gminnym (Dz.U. z 2020 r. poz.713 z </w:t>
      </w:r>
      <w:proofErr w:type="spellStart"/>
      <w:r>
        <w:t>późn</w:t>
      </w:r>
      <w:proofErr w:type="spellEnd"/>
      <w:r>
        <w:t>. zm.), art. 21 ust. 1 pkt 1 i ust. 2 ustawy z dnia 21 czerwca 2001 r. o ochronie praw lokatorów, mieszkaniowym zasobie gminy i o zmianie Kodeksu cywilnego (Dz.U. z 2020 r. , poz. 611) Rada</w:t>
      </w:r>
      <w:r>
        <w:t xml:space="preserve"> Gminy Nieporęt uchwala co następuje:</w:t>
      </w:r>
    </w:p>
    <w:p w:rsidR="00A77B3E" w:rsidRDefault="00BB6816">
      <w:pPr>
        <w:spacing w:before="120" w:after="120"/>
        <w:ind w:firstLine="227"/>
        <w:rPr>
          <w:color w:val="000000"/>
          <w:u w:color="000000"/>
        </w:rPr>
      </w:pPr>
      <w:r>
        <w:rPr>
          <w:b/>
        </w:rPr>
        <w:t>Wieloletni program gospodarowania mieszkaniowym zasobem Gminy Nieporęt na lata 2021-2026.</w:t>
      </w:r>
    </w:p>
    <w:p w:rsidR="00A77B3E" w:rsidRDefault="00BB681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b/>
          <w:color w:val="000000"/>
          <w:u w:color="000000"/>
        </w:rPr>
        <w:t>Prognoza dotycząca wielkości oraz stanu technicznego zasobu mieszkaniowego gminy na lata 2021 – 2026.</w:t>
      </w:r>
    </w:p>
    <w:p w:rsidR="00A77B3E" w:rsidRDefault="00BB681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skład mieszkanio</w:t>
      </w:r>
      <w:r>
        <w:rPr>
          <w:color w:val="000000"/>
          <w:u w:color="000000"/>
        </w:rPr>
        <w:t>wego zasobu Gminy Nieporęt wchodzi 26 lokali mieszkalnych zlokalizowanych  w następujących sołectwach: Białobrzegi, Nieporęt, Wólka Radzymińska, Zegrze Południowe. Dane liczbowe dotyczące wielkości mieszkaniowego zasobu Gminy przedstawia poniższa tabela.</w:t>
      </w:r>
    </w:p>
    <w:p w:rsidR="00A77B3E" w:rsidRDefault="00BB681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T</w:t>
      </w:r>
      <w:r>
        <w:rPr>
          <w:color w:val="000000"/>
          <w:u w:color="000000"/>
        </w:rPr>
        <w:t>abela nr 1. Wielkość mieszkaniowego zasobu Gminy Nieporęt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5161"/>
        <w:gridCol w:w="4396"/>
      </w:tblGrid>
      <w:tr w:rsidR="00C142BA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>Lp.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>Adres budynku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>Powierzchnia lokalu (m²)</w:t>
            </w:r>
          </w:p>
        </w:tc>
      </w:tr>
      <w:tr w:rsidR="00C142BA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Nieporęt, ul. Podleśna 4 lok.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45,90</w:t>
            </w:r>
          </w:p>
        </w:tc>
      </w:tr>
      <w:tr w:rsidR="00C142BA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Nieporęt, ul. Dworcowa 24 lok.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83,39</w:t>
            </w:r>
          </w:p>
        </w:tc>
      </w:tr>
      <w:tr w:rsidR="00C142BA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Nieporęt, ul. Dworcowa 24 lok.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57,75</w:t>
            </w:r>
          </w:p>
        </w:tc>
      </w:tr>
      <w:tr w:rsidR="00C142BA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Nieporęt, ul. Dworcowa 17 </w:t>
            </w:r>
            <w:r>
              <w:rPr>
                <w:sz w:val="18"/>
              </w:rPr>
              <w:t>lok.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48,00</w:t>
            </w:r>
          </w:p>
        </w:tc>
      </w:tr>
      <w:tr w:rsidR="00C142BA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Nieporęt, ul. Dworcowa 17 lok.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43,00</w:t>
            </w:r>
          </w:p>
        </w:tc>
      </w:tr>
      <w:tr w:rsidR="00C142BA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Nieporęt, ul. Jana Kazimierza 133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51,90</w:t>
            </w:r>
          </w:p>
        </w:tc>
      </w:tr>
      <w:tr w:rsidR="00C142BA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Wólka Radzymińska, ul. Szkolna 79A lok.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41,34</w:t>
            </w:r>
          </w:p>
        </w:tc>
      </w:tr>
      <w:tr w:rsidR="00C142BA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Wólka Radzymińska, ul. Szkolna 79A lok.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41,03</w:t>
            </w:r>
          </w:p>
        </w:tc>
      </w:tr>
      <w:tr w:rsidR="00C142BA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Wólka Radzymińska, ul. Szkolna 79A lok.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40,72</w:t>
            </w:r>
          </w:p>
        </w:tc>
      </w:tr>
      <w:tr w:rsidR="00C142BA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Wólka Radzymińska, ul. Szkolna 79A lok. 1A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31,73</w:t>
            </w:r>
          </w:p>
        </w:tc>
      </w:tr>
      <w:tr w:rsidR="00C142BA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Wólka Radzymińska, ul. Szkolna 79A lok. 2A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36,09</w:t>
            </w:r>
          </w:p>
        </w:tc>
      </w:tr>
      <w:tr w:rsidR="00C142BA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Wólka Radzymińska, ul. Szkolna 79A lok. 3A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33,07</w:t>
            </w:r>
          </w:p>
        </w:tc>
      </w:tr>
      <w:tr w:rsidR="00C142BA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Wólka Radzymińska, ul. Szkolna 79A lok. 4A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35,67</w:t>
            </w:r>
          </w:p>
        </w:tc>
      </w:tr>
      <w:tr w:rsidR="00C142BA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Zegrze Południowe, ul. Graniczna 5 lok.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19,74</w:t>
            </w:r>
          </w:p>
        </w:tc>
      </w:tr>
      <w:tr w:rsidR="00C142BA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Zegrze Południowe, ul. Graniczna 5 lok.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24,78</w:t>
            </w:r>
          </w:p>
        </w:tc>
      </w:tr>
      <w:tr w:rsidR="00C142BA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Zegrze Południowe, ul. Graniczna 7 lok.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22,00</w:t>
            </w:r>
          </w:p>
        </w:tc>
      </w:tr>
      <w:tr w:rsidR="00C142BA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Zegrze Południowe, ul. Graniczna 7 lok. 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18,00</w:t>
            </w:r>
          </w:p>
        </w:tc>
      </w:tr>
      <w:tr w:rsidR="00C142BA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Zegrze Południowe, ul. Graniczna 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45,72</w:t>
            </w:r>
          </w:p>
        </w:tc>
      </w:tr>
      <w:tr w:rsidR="00C142BA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Zegrze Południowe, ul. Szkolna 2 lok.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61,00</w:t>
            </w:r>
          </w:p>
        </w:tc>
      </w:tr>
      <w:tr w:rsidR="00C142BA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Zegrze Południowe, ul. Szkolna 2 lok.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29,00</w:t>
            </w:r>
          </w:p>
        </w:tc>
      </w:tr>
      <w:tr w:rsidR="00C142BA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Zegrze Południowe, ul. Szkolna 2 lok.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20,00</w:t>
            </w:r>
          </w:p>
        </w:tc>
      </w:tr>
      <w:tr w:rsidR="00C142BA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Zegrze Południowe, ul. Szkolna 2 lok. 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64,80</w:t>
            </w:r>
          </w:p>
        </w:tc>
      </w:tr>
      <w:tr w:rsidR="00C142BA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Białobrzegi, Os. Wojskowe 26 lok. 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26,60</w:t>
            </w:r>
          </w:p>
        </w:tc>
      </w:tr>
      <w:tr w:rsidR="00C142BA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Białobrzegi, Os. Wojskowe 26 lok. 10A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52,19</w:t>
            </w:r>
          </w:p>
        </w:tc>
      </w:tr>
      <w:tr w:rsidR="00C142BA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Białobrzegi, Os. Wojskowe 26 lok. 10B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51,11</w:t>
            </w:r>
          </w:p>
        </w:tc>
      </w:tr>
      <w:tr w:rsidR="00C142BA"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26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Białobrzegi, Os. Wojskowe 26 lok. 10C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31,60</w:t>
            </w:r>
          </w:p>
        </w:tc>
      </w:tr>
    </w:tbl>
    <w:p w:rsidR="00A77B3E" w:rsidRDefault="00BB681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okresie obowiązywania Programu powiększenie mieszkaniowego zasobu gminy będzie </w:t>
      </w:r>
      <w:r w:rsidR="00C60672">
        <w:rPr>
          <w:color w:val="000000"/>
          <w:u w:color="000000"/>
        </w:rPr>
        <w:t>uzależnione od potrzeb oraz syt</w:t>
      </w:r>
      <w:r>
        <w:rPr>
          <w:color w:val="000000"/>
          <w:u w:color="000000"/>
        </w:rPr>
        <w:t>u</w:t>
      </w:r>
      <w:r w:rsidR="00C60672">
        <w:rPr>
          <w:color w:val="000000"/>
          <w:u w:color="000000"/>
        </w:rPr>
        <w:t>ac</w:t>
      </w:r>
      <w:bookmarkStart w:id="0" w:name="_GoBack"/>
      <w:bookmarkEnd w:id="0"/>
      <w:r>
        <w:rPr>
          <w:color w:val="000000"/>
          <w:u w:color="000000"/>
        </w:rPr>
        <w:t>ji finansowej Gminy.</w:t>
      </w:r>
    </w:p>
    <w:p w:rsidR="00A77B3E" w:rsidRDefault="00BB681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Sprzedaż lokali </w:t>
      </w:r>
      <w:r>
        <w:rPr>
          <w:color w:val="000000"/>
          <w:u w:color="000000"/>
        </w:rPr>
        <w:t>mieszkalnych może nastąpić na wniosek, w przypadku ekonomicznego i społecznego uzasadnienia, po uprzednim wyrażeniu zgody przez Radę Gminy.</w:t>
      </w:r>
    </w:p>
    <w:p w:rsidR="00A77B3E" w:rsidRDefault="00BB681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Tabela nr 2. Prognozowana wielkość mieszkaniowego zasobu Gminy Nieporęt w latach 2021 – 2026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1336"/>
        <w:gridCol w:w="1215"/>
        <w:gridCol w:w="1200"/>
        <w:gridCol w:w="1365"/>
        <w:gridCol w:w="1365"/>
        <w:gridCol w:w="1350"/>
      </w:tblGrid>
      <w:tr w:rsidR="00C142BA">
        <w:trPr>
          <w:trHeight w:val="201"/>
        </w:trPr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83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Prognozowana ilość lok</w:t>
            </w:r>
            <w:r>
              <w:rPr>
                <w:b/>
              </w:rPr>
              <w:t>ali w poszczególnych latach</w:t>
            </w:r>
          </w:p>
        </w:tc>
      </w:tr>
      <w:tr w:rsidR="00C142BA">
        <w:trPr>
          <w:trHeight w:val="189"/>
        </w:trPr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2026</w:t>
            </w:r>
          </w:p>
        </w:tc>
      </w:tr>
      <w:tr w:rsidR="00C142BA">
        <w:trPr>
          <w:trHeight w:val="402"/>
        </w:trPr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Ilość lokali mieszkalnych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</w:t>
            </w:r>
          </w:p>
        </w:tc>
      </w:tr>
    </w:tbl>
    <w:p w:rsidR="00A77B3E" w:rsidRDefault="00BB681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Stan techniczny zasobu. Stan techniczny mieszkaniowego zasobu Gminy określają następujące kryteria:</w:t>
      </w:r>
    </w:p>
    <w:p w:rsidR="00A77B3E" w:rsidRDefault="00BB681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wiek budynku;</w:t>
      </w:r>
    </w:p>
    <w:p w:rsidR="00A77B3E" w:rsidRDefault="00BB681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wyposażenie techniczne </w:t>
      </w:r>
      <w:r>
        <w:rPr>
          <w:color w:val="000000"/>
          <w:u w:color="000000"/>
        </w:rPr>
        <w:t>budynku i lokali mieszkalnych;</w:t>
      </w:r>
    </w:p>
    <w:p w:rsidR="00A77B3E" w:rsidRDefault="00BB681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stan aktualny budynków i stopień ich zużycia.</w:t>
      </w:r>
    </w:p>
    <w:p w:rsidR="00A77B3E" w:rsidRDefault="00BB681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Szacuje się pomimo braku specjalistycznych ekspertyz, że stopień zużycia budynków oscyluje w granicach około 60%, jednakże stan elementów szczególnie narażonych na warunki zewn</w:t>
      </w:r>
      <w:r>
        <w:rPr>
          <w:color w:val="000000"/>
          <w:u w:color="000000"/>
        </w:rPr>
        <w:t>ętrzne oraz wpływających na bezpieczeństwo jest dobry. Gmina Nieporęt w miarę posiadanych środków finansowych stara się przeprowadzić bieżące remonty. Często zakres koniecznych do przeprowadzenia prac staje się zbyt obszerny i środki zabezpieczone w budżec</w:t>
      </w:r>
      <w:r>
        <w:rPr>
          <w:color w:val="000000"/>
          <w:u w:color="000000"/>
        </w:rPr>
        <w:t>ie nie wystarczają na wszystkie zaplanowane w danym roku prace. Gmina Nieporęt poprzez bieżące  naprawy, remonty, konserwacje będzie utrzymywać mieszkaniowy zasób w okresie obowiązywania programu w stanie niepogorszonym.</w:t>
      </w:r>
    </w:p>
    <w:p w:rsidR="00A77B3E" w:rsidRDefault="00BB681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b/>
          <w:color w:val="000000"/>
          <w:u w:color="000000"/>
        </w:rPr>
        <w:t>Analiza potrzeb oraz plan remo</w:t>
      </w:r>
      <w:r>
        <w:rPr>
          <w:b/>
          <w:color w:val="000000"/>
          <w:u w:color="000000"/>
        </w:rPr>
        <w:t xml:space="preserve">ntów i modernizacji wynikających ze stanu technicznego budynków i lokali mieszkalnych, z podziałem na kolejne lata. </w:t>
      </w:r>
    </w:p>
    <w:p w:rsidR="00A77B3E" w:rsidRDefault="00BB681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Głównym celem wieloletniego programu gospodarowania mieszkaniowym zasobem Gminy Nieporęt na lata 2021 – 2026 jest poprawa stanu techniczneg</w:t>
      </w:r>
      <w:r>
        <w:rPr>
          <w:color w:val="000000"/>
          <w:u w:color="000000"/>
        </w:rPr>
        <w:t>o lokali i budynków wchodzących w skład tego zasobu. Przeglądy techniczne budynków są podstawą do ustalenia rocznych planów remontów i modernizacji  zasobu mieszkaniowego z uwzględnieniem realnych możliwości finansowych Gminy. Potrzeby remontowe budynków i</w:t>
      </w:r>
      <w:r>
        <w:rPr>
          <w:color w:val="000000"/>
          <w:u w:color="000000"/>
        </w:rPr>
        <w:t> lokali wynikają z konieczności utrzymania stanu technicznego budynków na poziomie zapewniającym bezpieczeństwo ludzi i ochronę mienia w okresie jego użytkowania.</w:t>
      </w:r>
    </w:p>
    <w:p w:rsidR="00A77B3E" w:rsidRDefault="00BB681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Zestawienie planów remontowych i modernizacyjnych budynków komunalnych oraz lokali mieszkalny</w:t>
      </w:r>
      <w:r>
        <w:rPr>
          <w:color w:val="000000"/>
          <w:u w:color="000000"/>
        </w:rPr>
        <w:t>ch w latach 2021-2026 przedstawiono w poniższej tabeli.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5521"/>
        <w:gridCol w:w="1965"/>
        <w:gridCol w:w="1830"/>
      </w:tblGrid>
      <w:tr w:rsidR="00C142BA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Zakres robót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Ilość budynków/lokali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Rok wykonania prac</w:t>
            </w:r>
          </w:p>
        </w:tc>
      </w:tr>
      <w:tr w:rsidR="00C142BA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Wykonanie elewacji budynku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2021-2026</w:t>
            </w:r>
          </w:p>
        </w:tc>
      </w:tr>
      <w:tr w:rsidR="00C142BA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Wymiana pokrycia dachowego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2021-2026</w:t>
            </w:r>
          </w:p>
        </w:tc>
      </w:tr>
      <w:tr w:rsidR="00C142BA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Remont kominów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2021 - 2026</w:t>
            </w:r>
          </w:p>
        </w:tc>
      </w:tr>
      <w:tr w:rsidR="00C142BA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 xml:space="preserve">Wymiana instalacji </w:t>
            </w:r>
            <w:r>
              <w:t>elektrycznej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2021-2026</w:t>
            </w:r>
          </w:p>
        </w:tc>
      </w:tr>
      <w:tr w:rsidR="00C142BA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Remont/naprawa podestów, schodów/zadaszeń nad wejściem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2021-2026</w:t>
            </w:r>
          </w:p>
        </w:tc>
      </w:tr>
      <w:tr w:rsidR="00C142BA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Wykonanie przyłącza gazowego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2021-2026</w:t>
            </w:r>
          </w:p>
        </w:tc>
      </w:tr>
      <w:tr w:rsidR="00C142BA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7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Wykonanie instalacji C.O.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2021-2026</w:t>
            </w:r>
          </w:p>
        </w:tc>
      </w:tr>
      <w:tr w:rsidR="00C142BA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8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Generalny remont całości budynku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2021-2026</w:t>
            </w:r>
          </w:p>
        </w:tc>
      </w:tr>
    </w:tbl>
    <w:p w:rsidR="00A77B3E" w:rsidRDefault="00BB681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b/>
          <w:color w:val="000000"/>
          <w:u w:color="000000"/>
        </w:rPr>
        <w:t xml:space="preserve">Planowana sprzedaż </w:t>
      </w:r>
      <w:r>
        <w:rPr>
          <w:b/>
          <w:color w:val="000000"/>
          <w:u w:color="000000"/>
        </w:rPr>
        <w:t>lokali w kolejnych latach;</w:t>
      </w:r>
    </w:p>
    <w:p w:rsidR="00A77B3E" w:rsidRDefault="00BB681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Sprzedaż lokali będzie dokonywana przy zastosowaniu pierwszeństwa, zgodnie z przepisami ustawy o gospodarce nieruchomościami i wynikać będzie z bieżącego zainteresowania zakupem lokali przede wszystkim przez najemców stale </w:t>
      </w:r>
      <w:r>
        <w:rPr>
          <w:color w:val="000000"/>
          <w:u w:color="000000"/>
        </w:rPr>
        <w:t>zamieszkujących w lokalu, z uwzględnieniem § 1 ust. 3.</w:t>
      </w:r>
    </w:p>
    <w:p w:rsidR="00A77B3E" w:rsidRDefault="00BB681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b/>
          <w:color w:val="000000"/>
          <w:u w:color="000000"/>
        </w:rPr>
        <w:t>Zasady polityki czynszowej oraz warunki obniżania czynszu.</w:t>
      </w:r>
    </w:p>
    <w:p w:rsidR="00A77B3E" w:rsidRDefault="00BB681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Polityka czynszowa Gminy w latach 2021 – 2026 powinna zmierzać do takiego kształtowania stawek czynszu, które pokryją koszty bieżącego</w:t>
      </w:r>
      <w:r>
        <w:rPr>
          <w:color w:val="000000"/>
          <w:u w:color="000000"/>
        </w:rPr>
        <w:t xml:space="preserve"> utrzymania budynków oraz zapewnią środki na remonty.</w:t>
      </w:r>
    </w:p>
    <w:p w:rsidR="00A77B3E" w:rsidRDefault="00BB681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Bazę wyjściową dla ustalania maksymalnej stawki czynszu stanowi wskaźnik przeliczeniowy kosztu odtworzenia 1 m² powierzchni użytkowej budynku mieszkalnego ustalany co 6 miesięcy przez Wojewodę Mazowi</w:t>
      </w:r>
      <w:r>
        <w:rPr>
          <w:color w:val="000000"/>
          <w:u w:color="000000"/>
        </w:rPr>
        <w:t>eckiego w Dzienniku Urzędowym.</w:t>
      </w:r>
    </w:p>
    <w:p w:rsidR="00A77B3E" w:rsidRDefault="00BB681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Wartość odtworzeniową lokalu stanowi iloczyn powierzchni użytkowej lokalu i wskaźnika przeliczeniowego.</w:t>
      </w:r>
    </w:p>
    <w:p w:rsidR="00A77B3E" w:rsidRDefault="00BB681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Podwyżka nie może być dokonywana częściej niż co 6 miesięcy.</w:t>
      </w:r>
    </w:p>
    <w:p w:rsidR="00A77B3E" w:rsidRDefault="00BB681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Stawkę bazową czynszu za 1 m² ustala Wójt Gminy Nie</w:t>
      </w:r>
      <w:r>
        <w:rPr>
          <w:color w:val="000000"/>
          <w:u w:color="000000"/>
        </w:rPr>
        <w:t>poręt w drodze zarządzenia, która podlegać będzie podwyższeniu lub obniżeniu w oparciu o poniższe czynniki, gdzie (-) oznacza obniżenie wartości użytkowej, (+) oznacza podwyższenie wartości użytkowej:</w:t>
      </w:r>
    </w:p>
    <w:p w:rsidR="00A77B3E" w:rsidRDefault="00BB681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położenie budynku:</w:t>
      </w:r>
    </w:p>
    <w:p w:rsidR="00A77B3E" w:rsidRDefault="00BB681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ab/>
        <w:t>zabudowa zwarta: - 5%</w:t>
      </w:r>
    </w:p>
    <w:p w:rsidR="00A77B3E" w:rsidRDefault="00BB681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>zabudowa wolnostojąca: + 5%</w:t>
      </w:r>
    </w:p>
    <w:p w:rsidR="00A77B3E" w:rsidRDefault="00BB681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położenie lokalu w budynku: kondygnacja – 5% za każdą następną kondygnację oprócz parteru;</w:t>
      </w:r>
    </w:p>
    <w:p w:rsidR="00A77B3E" w:rsidRDefault="00BB681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wyposażenie lokalu w urządzenia techniczne i instalacje: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4021"/>
        <w:gridCol w:w="2596"/>
        <w:gridCol w:w="2521"/>
      </w:tblGrid>
      <w:tr w:rsidR="00C142BA"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Urządzenia techniczne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Istniejąca (%)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Brak (%)</w:t>
            </w:r>
          </w:p>
        </w:tc>
      </w:tr>
      <w:tr w:rsidR="00C142BA">
        <w:trPr>
          <w:trHeight w:val="386"/>
        </w:trPr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t>Łazienka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+5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-5</w:t>
            </w:r>
          </w:p>
        </w:tc>
      </w:tr>
      <w:tr w:rsidR="00C142BA"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t>instalacja gazowa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+5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-5</w:t>
            </w:r>
          </w:p>
        </w:tc>
      </w:tr>
      <w:tr w:rsidR="00C142BA"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t>instalacja wodna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+5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-5</w:t>
            </w:r>
          </w:p>
        </w:tc>
      </w:tr>
      <w:tr w:rsidR="00C142BA"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rPr>
                <w:color w:val="000000"/>
                <w:u w:color="000000"/>
              </w:rPr>
            </w:pPr>
            <w:r>
              <w:t>instalacja kanalizacyjna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+5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-5</w:t>
            </w:r>
          </w:p>
        </w:tc>
      </w:tr>
    </w:tbl>
    <w:p w:rsidR="00A77B3E" w:rsidRDefault="00BB681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Najemcy lokali mieszkalnych opłacają czynsz za najem ustalony według stawki bazowej za 1m² powierzchni użytkowej lokalu, z uwzględnieniem czynników podwyższających lub </w:t>
      </w:r>
      <w:r>
        <w:rPr>
          <w:color w:val="000000"/>
          <w:u w:color="000000"/>
        </w:rPr>
        <w:t>obniżających wartość użytkową lokalu, a w szczególności wyposażenie budynku i lokalu oraz ogólny stan techniczny budynku.</w:t>
      </w:r>
    </w:p>
    <w:p w:rsidR="00A77B3E" w:rsidRDefault="00BB681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Istotnym elementem, który Rada Gminy uwzględnia przy ustalaniu polityki czynszowej jest dążenie do samowystarczalności finansowej w</w:t>
      </w:r>
      <w:r>
        <w:rPr>
          <w:color w:val="000000"/>
          <w:u w:color="000000"/>
        </w:rPr>
        <w:t> polityce mieszkaniowej, poprzez uznanie, że czynsze powinny pokrywać nie tylko koszty bieżącego utrzymania budynków, ale zapewnić zgromadzenie środków na remonty.</w:t>
      </w:r>
    </w:p>
    <w:p w:rsidR="00A77B3E" w:rsidRDefault="00BB681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b/>
          <w:color w:val="000000"/>
          <w:u w:color="000000"/>
        </w:rPr>
        <w:t>Sposób i zasady zarządzania lokalami i budynkami wchodzącymi w skład mieszkaniowego zas</w:t>
      </w:r>
      <w:r>
        <w:rPr>
          <w:b/>
          <w:color w:val="000000"/>
          <w:u w:color="000000"/>
        </w:rPr>
        <w:t>obu gminy oraz przewidywane zmiany w zakresie zarządzania mieszkaniowym zasobem gminy w kolejnych latach.</w:t>
      </w:r>
    </w:p>
    <w:p w:rsidR="00A77B3E" w:rsidRDefault="00BB681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Zarząd lokalami i budynkami wchodzącymi w skład mieszkaniowego zasobu gminy sprawuje  Wójt Gminy.</w:t>
      </w:r>
    </w:p>
    <w:p w:rsidR="00A77B3E" w:rsidRDefault="00BB681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Zarządzanie mieszkaniowym zasobem Gminy polega</w:t>
      </w:r>
      <w:r>
        <w:rPr>
          <w:color w:val="000000"/>
          <w:u w:color="000000"/>
        </w:rPr>
        <w:t xml:space="preserve"> w szczególności na:</w:t>
      </w:r>
    </w:p>
    <w:p w:rsidR="00A77B3E" w:rsidRDefault="00BB681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przydzielaniu lokali;</w:t>
      </w:r>
    </w:p>
    <w:p w:rsidR="00A77B3E" w:rsidRDefault="00BB681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określaniu wysokości czynszu;</w:t>
      </w:r>
    </w:p>
    <w:p w:rsidR="00A77B3E" w:rsidRDefault="00BB681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wyrażaniu zgody na wykonywanie w budynku lub lokalu ulepszeń przez lokatorów oraz określaniu rozliczeń z tego tytułu.</w:t>
      </w:r>
    </w:p>
    <w:p w:rsidR="00A77B3E" w:rsidRDefault="00BB681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Mieszkaniowym zasobem gminy administruje Gminny Zakła</w:t>
      </w:r>
      <w:r>
        <w:rPr>
          <w:color w:val="000000"/>
          <w:u w:color="000000"/>
        </w:rPr>
        <w:t>d Komunalny w Nieporęcie, który zawiera umowy najmu, dokonuje stałego nadzoru nad stanem technicznym lokali i budynków, prognozuje potrzeby w zakresie utrzymania nieruchomości w stanie nie pogorszonym, określa zakres i termin niezbędnych prac remontowych i</w:t>
      </w:r>
      <w:r>
        <w:rPr>
          <w:color w:val="000000"/>
          <w:u w:color="000000"/>
        </w:rPr>
        <w:t> modernizacyjnych, ocenia zgodność wykorzystania nieruchomości z ich przeznaczeniem.</w:t>
      </w:r>
    </w:p>
    <w:p w:rsidR="00A77B3E" w:rsidRDefault="00BB681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b/>
          <w:color w:val="000000"/>
          <w:u w:color="000000"/>
        </w:rPr>
        <w:t>Źródła finansowania gospodarki mieszkaniowej w kolejnych latach.</w:t>
      </w:r>
    </w:p>
    <w:p w:rsidR="00A77B3E" w:rsidRDefault="00BB681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Podstawowym źródłem finansowania zasobów mieszkaniowych są wpływy z tytułu czynszów za lokale mieszka</w:t>
      </w:r>
      <w:r>
        <w:rPr>
          <w:color w:val="000000"/>
          <w:u w:color="000000"/>
        </w:rPr>
        <w:t>lne i użytkowe oraz z środków wskazanych w budżecie gminy na dofinansowanie gospodarki mieszkaniowej.</w:t>
      </w:r>
    </w:p>
    <w:p w:rsidR="00A77B3E" w:rsidRDefault="00BB681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b/>
          <w:color w:val="000000"/>
          <w:u w:color="000000"/>
        </w:rPr>
        <w:t>Wysokość kosztów w poszczególnych latach, z podziałem na koszty bieżącej eksploatacji, koszty remontów, oraz koszty modernizacji lokali i budynków wc</w:t>
      </w:r>
      <w:r>
        <w:rPr>
          <w:b/>
          <w:color w:val="000000"/>
          <w:u w:color="000000"/>
        </w:rPr>
        <w:t>hodzących w skład mieszkaniowego zasobu gminy, koszty zarządu nieruchomościami wspólnymi, których gmina jest jednym ze współwłaścicieli, a także koszty inwestycyjne.</w:t>
      </w:r>
    </w:p>
    <w:p w:rsidR="00A77B3E" w:rsidRDefault="00BB681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latach 2021-2026 przewiduje się wydatki finansowe, z podziałem na koszty bieżącej eksplo</w:t>
      </w:r>
      <w:r>
        <w:rPr>
          <w:color w:val="000000"/>
          <w:u w:color="000000"/>
        </w:rPr>
        <w:t>atacji, koszty remontów, oraz koszty modernizacji lokali i budynków wchodzących w skład mieszkaniowego zasobu gminy, w następujących kwotach: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1141"/>
        <w:gridCol w:w="1620"/>
        <w:gridCol w:w="1365"/>
        <w:gridCol w:w="1740"/>
        <w:gridCol w:w="2100"/>
        <w:gridCol w:w="1380"/>
      </w:tblGrid>
      <w:tr w:rsidR="00C142BA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Koszty bieżącej eksploatacji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Koszty remontów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Koszty modernizacji i inwestycji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Koszty zarządu</w:t>
            </w:r>
          </w:p>
          <w:p w:rsidR="00C142BA" w:rsidRDefault="00BB6816">
            <w:pPr>
              <w:jc w:val="center"/>
            </w:pPr>
            <w:r>
              <w:rPr>
                <w:b/>
              </w:rPr>
              <w:t>nieruchomościami wspólnymi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Koszty ogółem</w:t>
            </w:r>
          </w:p>
        </w:tc>
      </w:tr>
      <w:tr w:rsidR="00C142BA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13 000 zł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left"/>
              <w:rPr>
                <w:color w:val="000000"/>
                <w:u w:color="000000"/>
              </w:rPr>
            </w:pPr>
            <w:r>
              <w:t xml:space="preserve">   70 000 zł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50 000 zł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11 000 zł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144 000 zł</w:t>
            </w:r>
          </w:p>
        </w:tc>
      </w:tr>
      <w:tr w:rsidR="00C142BA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13 000 zł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70 000 zł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50 000 zł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11 000 zł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144 000 zł</w:t>
            </w:r>
          </w:p>
        </w:tc>
      </w:tr>
      <w:tr w:rsidR="00C142BA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13 000 zł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70 000 zł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50 000 zł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11 000 zł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144 000 zł</w:t>
            </w:r>
          </w:p>
        </w:tc>
      </w:tr>
      <w:tr w:rsidR="00C142BA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13 000 zł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70 000 zł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 xml:space="preserve">50 000 </w:t>
            </w:r>
            <w:r>
              <w:t>zł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11 000 zł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144 000 zł</w:t>
            </w:r>
          </w:p>
        </w:tc>
      </w:tr>
      <w:tr w:rsidR="00C142BA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13 000 zł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70 000 zł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50 000 zł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11 000 zł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144 000 zł</w:t>
            </w:r>
          </w:p>
        </w:tc>
      </w:tr>
      <w:tr w:rsidR="00C142BA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2026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13 000 zł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70 000 zł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50 000 zł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11 000 zł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B6816">
            <w:pPr>
              <w:jc w:val="center"/>
              <w:rPr>
                <w:color w:val="000000"/>
                <w:u w:color="000000"/>
              </w:rPr>
            </w:pPr>
            <w:r>
              <w:t>144 000 zł</w:t>
            </w:r>
          </w:p>
        </w:tc>
      </w:tr>
    </w:tbl>
    <w:p w:rsidR="00A77B3E" w:rsidRDefault="00BB681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b/>
          <w:color w:val="000000"/>
          <w:u w:color="000000"/>
        </w:rPr>
        <w:t>Opis innych działań mających na celu poprawę wykorzystania i </w:t>
      </w:r>
      <w:r>
        <w:rPr>
          <w:b/>
          <w:color w:val="000000"/>
          <w:u w:color="000000"/>
        </w:rPr>
        <w:t xml:space="preserve">racjonalizację gospodarowania mieszkaniowym zasobem gminy. </w:t>
      </w:r>
    </w:p>
    <w:p w:rsidR="00A77B3E" w:rsidRDefault="00BB681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bieżąca windykacja należności z tytułu czynszu najmu lokali oraz podejmowanie innych działań w celu zapewnienia regularnego i terminowego regulowania wpłat przez najemców,</w:t>
      </w:r>
    </w:p>
    <w:p w:rsidR="00A77B3E" w:rsidRDefault="00BB681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systematyczna dbał</w:t>
      </w:r>
      <w:r>
        <w:rPr>
          <w:color w:val="000000"/>
          <w:u w:color="000000"/>
        </w:rPr>
        <w:t>ość o istniejący zasób mieszkaniowy, poprawa stanu technicznego lokali i budynków oraz dochodzenie do wyższych standardów,</w:t>
      </w:r>
    </w:p>
    <w:p w:rsidR="00A77B3E" w:rsidRDefault="00BB681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wspieranie najemców w zakresie wykonywania ulepszeń w lokalu, mającym na celu podniesienie standardu technicznego lokalu,</w:t>
      </w:r>
    </w:p>
    <w:p w:rsidR="00A77B3E" w:rsidRDefault="00BB681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inten</w:t>
      </w:r>
      <w:r>
        <w:rPr>
          <w:color w:val="000000"/>
          <w:u w:color="000000"/>
        </w:rPr>
        <w:t>syfikowanie zamiany lokali dla umożliwienia uzyskania w zamian lokali większych na mniejsze oraz mniejszych na większe, stosownie do potrzeb i możliwości finansowych najemców,</w:t>
      </w:r>
    </w:p>
    <w:p w:rsidR="00A77B3E" w:rsidRDefault="00BB681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weryfikacja sposobu użytkowania lokali:</w:t>
      </w:r>
    </w:p>
    <w:p w:rsidR="00A77B3E" w:rsidRDefault="00BB681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ab/>
        <w:t xml:space="preserve">identyfikacja przypadków </w:t>
      </w:r>
      <w:r>
        <w:rPr>
          <w:color w:val="000000"/>
          <w:u w:color="000000"/>
        </w:rPr>
        <w:t>wynajęcia, podjęcia, oddania do bezpłatnego używania bez                         zgody wynajmującego,</w:t>
      </w:r>
    </w:p>
    <w:p w:rsidR="00A77B3E" w:rsidRDefault="00BB681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ab/>
        <w:t>monitorowanie zamieszkiwania przez najemców w lokalach do których mają tytuł prawny,</w:t>
      </w:r>
    </w:p>
    <w:p w:rsidR="00A77B3E" w:rsidRDefault="00BB681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ustalenia, czy najemca posiada tytuł prawny do innego lokalu m</w:t>
      </w:r>
      <w:r>
        <w:rPr>
          <w:color w:val="000000"/>
          <w:u w:color="000000"/>
        </w:rPr>
        <w:t>ieszkalnego.</w:t>
      </w:r>
    </w:p>
    <w:p w:rsidR="00A77B3E" w:rsidRDefault="00BB681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Przy obecnych zasobach mieszkaniowych brak jest możliwości stosowania zamiany lokalu na czas przeprowadzenia remontu w związku z czym w ramach niniejszego programu nie przewiduje się kapitalnych remontów całych budynków, wiążących się z koniec</w:t>
      </w:r>
      <w:r>
        <w:rPr>
          <w:color w:val="000000"/>
          <w:u w:color="000000"/>
        </w:rPr>
        <w:t>znością wykwaterowania lokatorów do lokali zamiennych na czas ich trwania.</w:t>
      </w:r>
    </w:p>
    <w:p w:rsidR="00A77B3E" w:rsidRDefault="00BB681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9. </w:t>
      </w:r>
      <w:r>
        <w:rPr>
          <w:color w:val="000000"/>
          <w:u w:color="000000"/>
        </w:rPr>
        <w:t xml:space="preserve">Traci moc Uchwała Nr XXV/39/2016 Rady Gminy Nieporęt z dnia 24 maja 2016 r. w sprawie uchwalenia Wieloletniego programu gospodarowania mieszkaniowym zasobem Gminy Nieporęt na  </w:t>
      </w:r>
      <w:r>
        <w:rPr>
          <w:color w:val="000000"/>
          <w:u w:color="000000"/>
        </w:rPr>
        <w:t xml:space="preserve">lata 2016 – 2022 (Dz. Urz. Woj. </w:t>
      </w:r>
      <w:proofErr w:type="spellStart"/>
      <w:r>
        <w:rPr>
          <w:color w:val="000000"/>
          <w:u w:color="000000"/>
        </w:rPr>
        <w:t>Maz</w:t>
      </w:r>
      <w:proofErr w:type="spellEnd"/>
      <w:r>
        <w:rPr>
          <w:color w:val="000000"/>
          <w:u w:color="000000"/>
        </w:rPr>
        <w:t>. z dnia 15 lipca 2016 roku, poz. 6736).</w:t>
      </w:r>
    </w:p>
    <w:p w:rsidR="00A77B3E" w:rsidRDefault="00BB681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BB681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Uchwała podlega ogłoszeniu w Dzienniku Urzędowym Województwa Mazowieckiego.</w:t>
      </w:r>
    </w:p>
    <w:p w:rsidR="00A77B3E" w:rsidRDefault="00BB6816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r>
        <w:rPr>
          <w:b/>
        </w:rPr>
        <w:t>§ 12. </w:t>
      </w:r>
      <w:r>
        <w:rPr>
          <w:color w:val="000000"/>
          <w:u w:color="000000"/>
        </w:rPr>
        <w:t>Uchwała wchodzi w życie po upływie 14 dni od dnia ogłoszenia.</w:t>
      </w:r>
    </w:p>
    <w:p w:rsidR="00C142BA" w:rsidRDefault="00C142BA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142BA" w:rsidRDefault="00BB6816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C142BA" w:rsidRDefault="00BB6816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do projektu uchwały Rady Gminy Nieporęt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sprawie wieloletniego programu gospodarowania mieszkaniowym zasobem Gminy Nieporęt na lata 2021-2026 </w:t>
      </w:r>
    </w:p>
    <w:p w:rsidR="00C142BA" w:rsidRDefault="00C142BA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142BA" w:rsidRDefault="00BB6816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Opracowanie Wieloletniego programu gospodarowania mieszkaniowym zasobem Gminy Nieporęt  jest realizacją obowiązku, który nakłada ustawa z dnia 21 czerw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ca 2001 r. o ochronie praw lokatorów, mieszkaniowym zasobie gminy i o zmianie Kodeksu cywilnego. Przyjęty uchwałą nr XXV/39/2016 Rady Gminy Nieporęt „Wieloletni program gospodarowania mieszkaniowym zasobem Gminy Nieporęt na lata 2016 - 2022 ” z dnia 24 maj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a 2016 roku obejmował lata 2012-2016. </w:t>
      </w:r>
    </w:p>
    <w:p w:rsidR="00C142BA" w:rsidRDefault="00BB6816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 związku z powyższym wymagana jest jego aktualizacja poprzez przyjęcie programu na kolejny okres minimum pięcioletni. Tworzenie warunków do zaspokajania potrzeb mieszkaniowych mieszkańców Gminy zgodnie z art. 4 ustaw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y o ochronie praw lokatorów, mieszkaniowym zasobie gminy i o zmianie Kodeksu cywilnego jest podstawowym zadaniem Gminy. Celem Wieloletniego programu gospodarowania mieszkaniowym zasobem Gminy Nieporęt na lata 2021 – 2026 jest wdrożenie racjonalnej polityki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mieszkaniowej zmierzającej do poprawy stanu technicznego </w:t>
      </w:r>
      <w:r>
        <w:rPr>
          <w:color w:val="000000"/>
          <w:szCs w:val="20"/>
          <w:shd w:val="clear" w:color="auto" w:fill="FFFFFF"/>
          <w:lang w:val="x-none" w:eastAsia="en-US" w:bidi="ar-SA"/>
        </w:rPr>
        <w:t>oraz zwiększenia efektywności zarządzania mieszkaniowym zasobem Gminy.</w:t>
      </w:r>
    </w:p>
    <w:p w:rsidR="00C142BA" w:rsidRDefault="00C142BA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142BA" w:rsidRDefault="00BB6816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 xml:space="preserve">przygotowała: </w:t>
      </w:r>
      <w:proofErr w:type="spellStart"/>
      <w:r>
        <w:rPr>
          <w:color w:val="000000"/>
          <w:szCs w:val="20"/>
          <w:shd w:val="clear" w:color="auto" w:fill="FFFFFF"/>
        </w:rPr>
        <w:t>J.Modzelewska</w:t>
      </w:r>
      <w:proofErr w:type="spellEnd"/>
    </w:p>
    <w:sectPr w:rsidR="00C142BA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816" w:rsidRDefault="00BB6816">
      <w:r>
        <w:separator/>
      </w:r>
    </w:p>
  </w:endnote>
  <w:endnote w:type="continuationSeparator" w:id="0">
    <w:p w:rsidR="00BB6816" w:rsidRDefault="00BB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142B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142BA" w:rsidRDefault="00BB681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142BA" w:rsidRDefault="00C142BA">
          <w:pPr>
            <w:jc w:val="right"/>
            <w:rPr>
              <w:sz w:val="18"/>
            </w:rPr>
          </w:pPr>
        </w:p>
      </w:tc>
    </w:tr>
  </w:tbl>
  <w:p w:rsidR="00C142BA" w:rsidRDefault="00C142B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C142BA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142BA" w:rsidRDefault="00BB681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142BA" w:rsidRDefault="00C142BA">
          <w:pPr>
            <w:jc w:val="right"/>
            <w:rPr>
              <w:sz w:val="18"/>
            </w:rPr>
          </w:pPr>
        </w:p>
      </w:tc>
    </w:tr>
  </w:tbl>
  <w:p w:rsidR="00C142BA" w:rsidRDefault="00C142B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816" w:rsidRDefault="00BB6816">
      <w:r>
        <w:separator/>
      </w:r>
    </w:p>
  </w:footnote>
  <w:footnote w:type="continuationSeparator" w:id="0">
    <w:p w:rsidR="00BB6816" w:rsidRDefault="00BB6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BB6816"/>
    <w:rsid w:val="00C142BA"/>
    <w:rsid w:val="00C60672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AB844"/>
  <w15:docId w15:val="{C013A109-BC9D-4184-8A2D-10629635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1811</Words>
  <Characters>10870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12656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Wieloletniego programu gospodarowania mieszkaniowym zasobem Gminy Nieporęt na lata 2021-2026</dc:subject>
  <dc:creator>w.dzwonek</dc:creator>
  <cp:lastModifiedBy>Wiktoria Dzwonek</cp:lastModifiedBy>
  <cp:revision>2</cp:revision>
  <dcterms:created xsi:type="dcterms:W3CDTF">2021-05-26T09:25:00Z</dcterms:created>
  <dcterms:modified xsi:type="dcterms:W3CDTF">2021-05-26T09:25:00Z</dcterms:modified>
  <cp:category>Akt prawny</cp:category>
</cp:coreProperties>
</file>