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EB53EE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EB53EE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EB53EE">
      <w:pPr>
        <w:keepNext/>
        <w:spacing w:after="480"/>
        <w:jc w:val="center"/>
      </w:pPr>
      <w:r>
        <w:rPr>
          <w:b/>
        </w:rPr>
        <w:t>zmieniająca uchwałę w sprawie  zasad udzielenia dotacji celowej z budżetu gminy Nieporęt na dofinansowanie kosztów inwestycji służących ochronie powietrza</w:t>
      </w:r>
    </w:p>
    <w:p w:rsidR="00A77B3E" w:rsidRDefault="00EB53EE">
      <w:pPr>
        <w:keepLines/>
        <w:spacing w:before="120" w:after="120"/>
        <w:ind w:firstLine="227"/>
      </w:pPr>
      <w:r>
        <w:t>Na podstawie</w:t>
      </w:r>
      <w:r>
        <w:t xml:space="preserve"> art. 18 ust. 2 pkt 15 ustawy z dnia 8 marca 1990 r. o samorządzie gminnym</w:t>
      </w:r>
      <w:r>
        <w:br/>
        <w:t>(Dz. U. z 2020 r. poz. 713 ze zm.) oraz art. 400a ust. 1 pkt 21, w związku z art. 403 ust. 2-6 ustawy z dnia 27 kwietnia 2001 r. Prawo ochrony środowiska (Dz. U. z 2020 r. poz. 1219</w:t>
      </w:r>
      <w:r>
        <w:t> ze zm.) Rada Gminy Nieporęt uchwala, co następuje:</w:t>
      </w:r>
    </w:p>
    <w:p w:rsidR="00A77B3E" w:rsidRDefault="00EB53EE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XXXVI/23/2021 Rady Gminy Nieporęt z dnia 29 marca 2021 r. w sprawie  zasad udzielenia dotacji celowej z budżetu gminy Nieporęt na dofinansowanie kosztów inwestycji służących ochronie pow</w:t>
      </w:r>
      <w:r>
        <w:t>ietrza (Dz. Urz. Województwa Mazowieckiego z 2021 r. poz. 3325) wprowadza się następujące zmiany:</w:t>
      </w:r>
    </w:p>
    <w:p w:rsidR="00A77B3E" w:rsidRDefault="00EB53EE">
      <w:pPr>
        <w:spacing w:before="120" w:after="120"/>
        <w:ind w:left="340" w:hanging="227"/>
      </w:pPr>
      <w:r>
        <w:t>1) </w:t>
      </w:r>
      <w:r>
        <w:t>w załączniku Nr 1 do uchwały pn. „Regulamin udzielania dotacji celowej ze środków budżetu gminy Nieporęt na dofinansowanie kosztów inwestycji służących och</w:t>
      </w:r>
      <w:r>
        <w:t>ronie powietrza”:</w:t>
      </w:r>
    </w:p>
    <w:p w:rsidR="00A77B3E" w:rsidRDefault="00EB53EE">
      <w:pPr>
        <w:keepLines/>
        <w:spacing w:before="120" w:after="120"/>
        <w:ind w:left="567" w:hanging="227"/>
      </w:pPr>
      <w:r>
        <w:t>a) </w:t>
      </w:r>
      <w:r>
        <w:t>w § 4 pkt 1 skreśla się;</w:t>
      </w:r>
    </w:p>
    <w:p w:rsidR="00A77B3E" w:rsidRDefault="00EB53EE">
      <w:pPr>
        <w:keepLines/>
        <w:spacing w:before="120" w:after="120"/>
        <w:ind w:left="567" w:hanging="227"/>
      </w:pPr>
      <w:r>
        <w:t>b) </w:t>
      </w:r>
      <w:r>
        <w:t>w § 14 po ust. 5 dodaje się ust. 6 w brzmieniu:</w:t>
      </w:r>
    </w:p>
    <w:p w:rsidR="00A77B3E" w:rsidRDefault="00EB53EE">
      <w:pPr>
        <w:keepLines/>
        <w:spacing w:before="120" w:after="120"/>
        <w:ind w:left="680" w:firstLine="227"/>
      </w:pPr>
      <w:r>
        <w:t>„</w:t>
      </w:r>
      <w:r>
        <w:t>6. </w:t>
      </w:r>
      <w:r>
        <w:t>Przedsięwzięcie realizowane w ramach dotacji może być dofinansowane z innych środków publicznych, z tym że łączna kwota dofinansowania na przedsięwzięcie n</w:t>
      </w:r>
      <w:r>
        <w:t>ie może przekroczyć 100% kosztów kwalifikowanych przedsięwzięcia.</w:t>
      </w:r>
      <w:r>
        <w:t>”</w:t>
      </w:r>
      <w:r>
        <w:t>;</w:t>
      </w:r>
    </w:p>
    <w:p w:rsidR="00A77B3E" w:rsidRDefault="00EB53EE">
      <w:pPr>
        <w:spacing w:before="120" w:after="120"/>
        <w:ind w:left="340" w:hanging="227"/>
      </w:pPr>
      <w:r>
        <w:t>2) </w:t>
      </w:r>
      <w:r>
        <w:t>załącznik Nr 3 pn. „Wniosek o wypłatę dotacji celowej na wymianą źródeł ciepła”, do Regulaminu udzielania dotacji celowej ze środków budżetu gminy Nieporęt na dofinansowanie kosztów inw</w:t>
      </w:r>
      <w:r>
        <w:t>estycji służących ochronie powietrza, otrzymuje brzmienie stanowiące załącznik do niniejszej uchwały.</w:t>
      </w:r>
    </w:p>
    <w:p w:rsidR="00A77B3E" w:rsidRDefault="00EB53EE">
      <w:pPr>
        <w:keepLines/>
        <w:spacing w:before="120" w:after="120"/>
        <w:ind w:firstLine="340"/>
      </w:pPr>
      <w:r>
        <w:rPr>
          <w:b/>
        </w:rPr>
        <w:t>§ 2. </w:t>
      </w:r>
      <w:r>
        <w:t>Przepisy niniejszej uchwały mają zastosowanie do dotacji przyznanych przed dniem wejścia w życie uchwały.</w:t>
      </w:r>
    </w:p>
    <w:p w:rsidR="00A77B3E" w:rsidRDefault="00EB53EE">
      <w:pPr>
        <w:keepLines/>
        <w:spacing w:before="120" w:after="120"/>
        <w:ind w:firstLine="340"/>
      </w:pPr>
      <w:r>
        <w:rPr>
          <w:b/>
        </w:rPr>
        <w:t>§ 3. </w:t>
      </w:r>
      <w:r>
        <w:t>Uchwała podlega ogłoszeniu w Dzienniku</w:t>
      </w:r>
      <w:r>
        <w:t xml:space="preserve"> Urzędowym Województwa Mazowieckiego.</w:t>
      </w:r>
    </w:p>
    <w:p w:rsidR="00A77B3E" w:rsidRDefault="00EB53EE">
      <w:pPr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po upływie 14 dni od dnia ogłoszenia.</w:t>
      </w:r>
    </w:p>
    <w:p w:rsidR="006C1C86" w:rsidRDefault="006C1C86" w:rsidP="006C1C86">
      <w:pPr>
        <w:keepLines/>
        <w:spacing w:before="120" w:after="120"/>
        <w:sectPr w:rsidR="006C1C86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867E61" w:rsidRDefault="00867E61">
      <w:pPr>
        <w:rPr>
          <w:szCs w:val="20"/>
        </w:rPr>
      </w:pPr>
    </w:p>
    <w:p w:rsidR="00867E61" w:rsidRDefault="00EB53EE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867E61" w:rsidRDefault="00EB53E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projektu uchwały zmieniającej uchwałę w sprawie  zasad udzielenia dotacji celowej z budżetu gminy Nieporęt na </w:t>
      </w:r>
      <w:r>
        <w:rPr>
          <w:b/>
          <w:szCs w:val="20"/>
        </w:rPr>
        <w:t>dofinansowanie kosztów inwestycji służących ochronie powietrza</w:t>
      </w:r>
    </w:p>
    <w:p w:rsidR="00867E61" w:rsidRDefault="00EB53E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18 ust. 2 pkt 15 ustawy z dnia 8 marca 1990 r. o samorządzie gminnym</w:t>
      </w:r>
      <w:r>
        <w:rPr>
          <w:color w:val="000000"/>
          <w:szCs w:val="20"/>
          <w:u w:color="000000"/>
        </w:rPr>
        <w:br/>
        <w:t xml:space="preserve">(Dz. U. z 2020 r. poz. 713 ze zm.) - Do wyłącznej właściwości rady gminy należy: stanowienie                 </w:t>
      </w:r>
      <w:r>
        <w:rPr>
          <w:color w:val="000000"/>
          <w:szCs w:val="20"/>
          <w:u w:color="000000"/>
        </w:rPr>
        <w:t xml:space="preserve">   w innych sprawach zastrzeżonych ustawami do kompetencji rady gminy.</w:t>
      </w:r>
    </w:p>
    <w:p w:rsidR="00867E61" w:rsidRDefault="00EB53E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400a ust. pkt 21 w związku z art. 403 ust. 2-6 ustawy z dnia 27 kwietnia 2001 r. Prawo ochrony środowiska (Dz. U. z 2020 r. poz. 1219 ze zm.) - Finansowanie ochrony środo</w:t>
      </w:r>
      <w:r>
        <w:rPr>
          <w:color w:val="000000"/>
          <w:szCs w:val="20"/>
          <w:u w:color="000000"/>
        </w:rPr>
        <w:t>wiska                 i gospodarki wodnej obejmuje: przedsięwzięcia związane z ochroną powietrza.</w:t>
      </w:r>
    </w:p>
    <w:p w:rsidR="00867E61" w:rsidRDefault="00EB53E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403 ust. 2-6 ustawy Prawo ochrony środowiska:</w:t>
      </w:r>
    </w:p>
    <w:p w:rsidR="00867E61" w:rsidRDefault="00EB53E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2. Do zadań własnych gmin należy finansowanie ochrony środowiska w zakresie określonym w art. 400</w:t>
      </w:r>
      <w:r>
        <w:rPr>
          <w:color w:val="000000"/>
          <w:szCs w:val="20"/>
          <w:u w:color="000000"/>
        </w:rPr>
        <w:t>a ust. 1 pkt 2, 5, 8, 9, 15, 16, 21-25, 29, 31, 32 i 38-42 w wysokości nie mniejszej niż kwota wpływów z tytułu opłat i kar, o których mowa w art. 402 ust. 4, 5 i 6, stanowiących dochody budżetów gmin, pomniejszona o nadwyżkę z tytułu tych dochodów przekaz</w:t>
      </w:r>
      <w:r>
        <w:rPr>
          <w:color w:val="000000"/>
          <w:szCs w:val="20"/>
          <w:u w:color="000000"/>
        </w:rPr>
        <w:t>ywaną do wojewódzkich funduszy.</w:t>
      </w:r>
    </w:p>
    <w:p w:rsidR="00867E61" w:rsidRDefault="00EB53E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3. Finansowanie ochrony środowiska i gospodarki wodnej, o którym mowa w ust. 1 i 2, odbywa się             w trybie określonym w przepisach odrębnych, z zastrzeżeniem ust. 4-6.</w:t>
      </w:r>
    </w:p>
    <w:p w:rsidR="00867E61" w:rsidRDefault="00EB53E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4. Finansowanie ochrony środowiska i gospodarki</w:t>
      </w:r>
      <w:r>
        <w:rPr>
          <w:color w:val="000000"/>
          <w:szCs w:val="20"/>
          <w:u w:color="000000"/>
        </w:rPr>
        <w:t xml:space="preserve"> wodnej, o którym mowa w ust. 1 i 2, może polegać na udzielaniu dotacji celowej w rozumieniu przepisów </w:t>
      </w:r>
      <w:hyperlink r:id="rId7" w:history="1">
        <w:r>
          <w:rPr>
            <w:color w:val="0066CC"/>
            <w:szCs w:val="20"/>
            <w:u w:val="single" w:color="000000"/>
          </w:rPr>
          <w:t>ustawy</w:t>
        </w:r>
      </w:hyperlink>
      <w:r>
        <w:rPr>
          <w:color w:val="000000"/>
          <w:szCs w:val="20"/>
        </w:rPr>
        <w:t> </w:t>
      </w:r>
      <w:r>
        <w:rPr>
          <w:color w:val="000000"/>
          <w:szCs w:val="20"/>
          <w:u w:color="000000"/>
        </w:rPr>
        <w:t xml:space="preserve"> z dnia 27 sierpnia 2009 r. o finansach publicznych z budżetu gminy lub budżetu powiatu na finansowanie lub do</w:t>
      </w:r>
      <w:r>
        <w:rPr>
          <w:color w:val="000000"/>
          <w:szCs w:val="20"/>
          <w:u w:color="000000"/>
        </w:rPr>
        <w:t>finansowanie kosztów inwestycji:</w:t>
      </w:r>
    </w:p>
    <w:p w:rsidR="00867E61" w:rsidRDefault="00EB53E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podmiotów niezaliczonych do sektora finansów publicznych, w szczególności:</w:t>
      </w:r>
    </w:p>
    <w:p w:rsidR="00867E61" w:rsidRDefault="00EB53E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osób fizycznych,</w:t>
      </w:r>
    </w:p>
    <w:p w:rsidR="00867E61" w:rsidRDefault="00EB53E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wspólnot mieszkaniowych,</w:t>
      </w:r>
    </w:p>
    <w:p w:rsidR="00867E61" w:rsidRDefault="00EB53E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c) osób prawnych,</w:t>
      </w:r>
    </w:p>
    <w:p w:rsidR="00867E61" w:rsidRDefault="00EB53E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d) przedsiębiorców;</w:t>
      </w:r>
    </w:p>
    <w:p w:rsidR="00867E61" w:rsidRDefault="00EB53E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jednostek sektora finansów publicznych będących gminnymi</w:t>
      </w:r>
      <w:r>
        <w:rPr>
          <w:color w:val="000000"/>
          <w:szCs w:val="20"/>
          <w:u w:color="000000"/>
        </w:rPr>
        <w:t xml:space="preserve"> lub powiatowymi osobami prawnymi.</w:t>
      </w:r>
    </w:p>
    <w:p w:rsidR="00867E61" w:rsidRDefault="00EB53E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5. </w:t>
      </w:r>
      <w:r>
        <w:rPr>
          <w:color w:val="000000"/>
          <w:szCs w:val="20"/>
          <w:u w:val="single" w:color="000000"/>
        </w:rPr>
        <w:t>Zasady udzielania dotacji celowej</w:t>
      </w:r>
      <w:r>
        <w:rPr>
          <w:color w:val="000000"/>
          <w:szCs w:val="20"/>
          <w:u w:color="000000"/>
        </w:rPr>
        <w:t xml:space="preserve">, o której mowa w ust. 4, obejmujące w szczególności kryteria wyboru inwestycji do finansowania lub dofinansowania oraz tryb postępowania w sprawie udzielania dotacji i sposób jej rozliczania </w:t>
      </w:r>
      <w:r>
        <w:rPr>
          <w:color w:val="000000"/>
          <w:szCs w:val="20"/>
          <w:u w:val="single" w:color="000000"/>
        </w:rPr>
        <w:t>określa odpowiednio rada gminy</w:t>
      </w:r>
      <w:r>
        <w:rPr>
          <w:color w:val="000000"/>
          <w:szCs w:val="20"/>
          <w:u w:color="000000"/>
        </w:rPr>
        <w:t xml:space="preserve"> albo rada powiatu </w:t>
      </w:r>
      <w:r>
        <w:rPr>
          <w:color w:val="000000"/>
          <w:szCs w:val="20"/>
          <w:u w:val="single" w:color="000000"/>
        </w:rPr>
        <w:t>w drodze uchwał</w:t>
      </w:r>
      <w:r>
        <w:rPr>
          <w:color w:val="000000"/>
          <w:szCs w:val="20"/>
          <w:u w:val="single" w:color="000000"/>
        </w:rPr>
        <w:t>y.</w:t>
      </w:r>
    </w:p>
    <w:p w:rsidR="00867E61" w:rsidRDefault="00EB53E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6. Udzielenie dotacji celowej, o której mowa w ust. 4, następuje na podstawie umowy zawartej przez gminę lub powiat z podmiotami określonymi w ust. 4. W przypadku gdy dotacja stanowi pomoc publiczną lub pomoc de </w:t>
      </w:r>
      <w:proofErr w:type="spellStart"/>
      <w:r>
        <w:rPr>
          <w:color w:val="000000"/>
          <w:szCs w:val="20"/>
          <w:u w:color="000000"/>
        </w:rPr>
        <w:t>minimis</w:t>
      </w:r>
      <w:proofErr w:type="spellEnd"/>
      <w:r>
        <w:rPr>
          <w:color w:val="000000"/>
          <w:szCs w:val="20"/>
          <w:u w:color="000000"/>
        </w:rPr>
        <w:t xml:space="preserve"> jej udzielenie następuje z uwzglę</w:t>
      </w:r>
      <w:r>
        <w:rPr>
          <w:color w:val="000000"/>
          <w:szCs w:val="20"/>
          <w:u w:color="000000"/>
        </w:rPr>
        <w:t>dnieniem warunków dopuszczalności tej pomocy określonych w przepisach prawa Unii Europejskiej.</w:t>
      </w:r>
    </w:p>
    <w:p w:rsidR="00867E61" w:rsidRDefault="00EB53E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Rada Gminy Nieporęt uchwałą Nr XXXVI/23/2021 z dnia 29 marca 2021 r. w sprawie zasad udzielenia dotacji celowej z budżetu gminy Nieporęt na dofinansowanie kosztó</w:t>
      </w:r>
      <w:r>
        <w:rPr>
          <w:color w:val="000000"/>
          <w:szCs w:val="20"/>
          <w:u w:color="000000"/>
        </w:rPr>
        <w:t>w inwestycji służących ochronie powietrza (Dz. Urz. Woj. Mazowieckiego poz. 3325) określiła zasady udzielenia dotacji celowej z budżetu gminy Nieporęt na dofinansowanie kosztów inwestycji służących ochronie powietrza, zgodnie z którymi dotacja nie obejmuje</w:t>
      </w:r>
      <w:r>
        <w:rPr>
          <w:color w:val="000000"/>
          <w:szCs w:val="20"/>
          <w:u w:color="000000"/>
        </w:rPr>
        <w:t xml:space="preserve"> i nie może służyć pokrywaniu wydatków poniesionych na przedsięwzięcia finansowane lub dotowane z innych bezzwrotnych źródeł finansowania.</w:t>
      </w:r>
    </w:p>
    <w:p w:rsidR="00867E61" w:rsidRDefault="00EB53EE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Mając na uwadze pojawiające się możliwości finansowania czy dotowania tego samego przedsięwzięcia z różnych źródeł, z</w:t>
      </w:r>
      <w:r>
        <w:rPr>
          <w:color w:val="000000"/>
          <w:szCs w:val="20"/>
          <w:u w:color="000000"/>
        </w:rPr>
        <w:t>asadnym jest umożliwienie mieszkańcom Gminy skorzystania z takich możliwości.</w:t>
      </w:r>
    </w:p>
    <w:sectPr w:rsidR="00867E61">
      <w:footerReference w:type="default" r:id="rId8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3EE" w:rsidRDefault="00EB53EE">
      <w:r>
        <w:separator/>
      </w:r>
    </w:p>
  </w:endnote>
  <w:endnote w:type="continuationSeparator" w:id="0">
    <w:p w:rsidR="00EB53EE" w:rsidRDefault="00EB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67E6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67E61" w:rsidRDefault="00EB53EE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67E61" w:rsidRDefault="00867E61">
          <w:pPr>
            <w:jc w:val="right"/>
            <w:rPr>
              <w:sz w:val="18"/>
            </w:rPr>
          </w:pPr>
        </w:p>
      </w:tc>
    </w:tr>
  </w:tbl>
  <w:p w:rsidR="00867E61" w:rsidRDefault="00867E6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67E6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67E61" w:rsidRDefault="00EB53EE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67E61" w:rsidRDefault="00867E61">
          <w:pPr>
            <w:jc w:val="right"/>
            <w:rPr>
              <w:sz w:val="18"/>
            </w:rPr>
          </w:pPr>
        </w:p>
      </w:tc>
    </w:tr>
  </w:tbl>
  <w:p w:rsidR="00867E61" w:rsidRDefault="00867E6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3EE" w:rsidRDefault="00EB53EE">
      <w:r>
        <w:separator/>
      </w:r>
    </w:p>
  </w:footnote>
  <w:footnote w:type="continuationSeparator" w:id="0">
    <w:p w:rsidR="00EB53EE" w:rsidRDefault="00EB5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6C1C86"/>
    <w:rsid w:val="00867E61"/>
    <w:rsid w:val="00A77B3E"/>
    <w:rsid w:val="00CA2A55"/>
    <w:rsid w:val="00EB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66B3A"/>
  <w15:docId w15:val="{3928198B-97FE-48CD-AD07-C135E2B7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4496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 zasad udzielenia dotacji celowej z^budżetu gminy Nieporęt na dofinansowanie kosztów inwestycji służących ochronie powietrza</dc:subject>
  <dc:creator>w.dzwonek</dc:creator>
  <cp:lastModifiedBy>Wiktoria Dzwonek</cp:lastModifiedBy>
  <cp:revision>2</cp:revision>
  <dcterms:created xsi:type="dcterms:W3CDTF">2021-07-21T10:29:00Z</dcterms:created>
  <dcterms:modified xsi:type="dcterms:W3CDTF">2021-07-21T10:29:00Z</dcterms:modified>
  <cp:category>Akt prawny</cp:category>
</cp:coreProperties>
</file>