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0559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05591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B05591">
      <w:pPr>
        <w:keepNext/>
        <w:spacing w:after="480"/>
        <w:jc w:val="center"/>
      </w:pPr>
      <w:r>
        <w:rPr>
          <w:b/>
        </w:rPr>
        <w:t>w sprawie stawek podatku od nieruchomości</w:t>
      </w:r>
    </w:p>
    <w:p w:rsidR="00A77B3E" w:rsidRDefault="00B05591">
      <w:pPr>
        <w:keepLines/>
        <w:spacing w:before="120" w:after="120"/>
        <w:ind w:firstLine="227"/>
      </w:pPr>
      <w:r>
        <w:t>Na podstawie art. 18 ust. 2 pkt 8, art. 40 ust. 1, art. 41 ust. 1 ustawy z dnia 8 marca 1990 r. o samorządzie gminnym (Dz. U.</w:t>
      </w:r>
      <w:r>
        <w:t xml:space="preserve"> z 2021 r. poz. 1372) w związku z art. 5 ust. 1 i 4, art. 20b, art. 20c ustawy z dnia 12 stycznia 1991 r. o podatkach i opłatach lokalnych (Dz. U. z 2019 r. poz. 1170 oraz z 2021 r. poz. 401 i 1558) oraz rozporządzeniem Komisji (UE) Nr 1407/2013 z dnia 18 </w:t>
      </w:r>
      <w:r>
        <w:t xml:space="preserve">grudnia 2013 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(Dz. Urz. UE L 352 z 24.12.2013, L 215 z 7.7.2020 r.) oraz w związku z pkt 1 i 2 Obwieszczenia Ministra Finansów, Funduszy i Polityki Regio</w:t>
      </w:r>
      <w:r>
        <w:t>nalnej z dnia 22 lipca 2021 r. w sprawie górnych granic stawek kwotowych podatków i opłat lokalnych na rok 2022 (M. P. poz. 724) Rada Gminy Nieporęt, uchwala co następuje:</w:t>
      </w:r>
    </w:p>
    <w:p w:rsidR="00A77B3E" w:rsidRDefault="00B05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następujące stawki podatku od nieruchomości obowiązujące na tere</w:t>
      </w:r>
      <w:r>
        <w:t>nie Gminy Nieporęt:</w:t>
      </w:r>
    </w:p>
    <w:p w:rsidR="00A77B3E" w:rsidRDefault="00B055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gruntów: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związanych z prowadzeniem działalności gospodarczej, bez względu na sposób zakwalifikowania w ewidencji gruntów i budynków – </w:t>
      </w:r>
      <w:r>
        <w:rPr>
          <w:b/>
          <w:color w:val="000000"/>
          <w:u w:color="000000"/>
        </w:rPr>
        <w:t>0,94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</w:t>
      </w:r>
      <w:r>
        <w:rPr>
          <w:color w:val="000000"/>
          <w:u w:color="000000"/>
        </w:rPr>
        <w:t xml:space="preserve">powierzchniowymi płynącymi jezior i zbiorników sztucznych – </w:t>
      </w:r>
      <w:r>
        <w:rPr>
          <w:b/>
          <w:color w:val="000000"/>
          <w:u w:color="000000"/>
        </w:rPr>
        <w:t>5,05</w:t>
      </w:r>
      <w:r>
        <w:rPr>
          <w:color w:val="000000"/>
          <w:u w:color="000000"/>
        </w:rPr>
        <w:t xml:space="preserve"> zł od 1 ha powierzchni,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>0,40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</w:t>
      </w:r>
      <w:r>
        <w:rPr>
          <w:color w:val="000000"/>
          <w:u w:color="000000"/>
        </w:rPr>
        <w:t>,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w ustawie z dnia 9 października 2015 r. o rewitalizacji (Dz. U. z 2021 r. poz. 485), i położonych na terenach, dla których miejscowy plan zagospodarowania przestrzennego przewiduje przezna</w:t>
      </w:r>
      <w:r>
        <w:rPr>
          <w:color w:val="000000"/>
          <w:u w:color="000000"/>
        </w:rPr>
        <w:t xml:space="preserve">czenie pod zabudowę mieszkaniową, usługową albo zabudowę o przeznaczeniu mieszanym obejmującym wyłącznie te rodzaje zabudowy, jeżeli od dnia wejścia w życie tego planu w odniesieniu do tych gruntów upłynął okres 4 lat, a w tym czasie nie zakończono budowy </w:t>
      </w:r>
      <w:r>
        <w:rPr>
          <w:color w:val="000000"/>
          <w:u w:color="000000"/>
        </w:rPr>
        <w:t xml:space="preserve">zgodnie z przepisami prawa budowlanego – </w:t>
      </w:r>
      <w:r>
        <w:rPr>
          <w:b/>
          <w:color w:val="000000"/>
          <w:u w:color="000000"/>
        </w:rPr>
        <w:t>3,32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powierzchni;</w:t>
      </w:r>
    </w:p>
    <w:p w:rsidR="00A77B3E" w:rsidRDefault="00B055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>0,79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</w:t>
      </w:r>
      <w:r>
        <w:rPr>
          <w:color w:val="000000"/>
          <w:u w:color="000000"/>
        </w:rPr>
        <w:t xml:space="preserve">i zajętych na prowadzenie działalności gospodarczej – </w:t>
      </w:r>
      <w:r>
        <w:rPr>
          <w:b/>
          <w:color w:val="000000"/>
          <w:u w:color="000000"/>
        </w:rPr>
        <w:t>23,31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 z wyjątkiem budynków lub ich części zajętych na prowadzenie działalności gospodarczej, w zakresie żłobków i klubów dziecięcych nie objętych zwolnieniem ustawowym,</w:t>
      </w:r>
      <w:r>
        <w:rPr>
          <w:color w:val="000000"/>
          <w:u w:color="000000"/>
        </w:rPr>
        <w:t xml:space="preserve"> dla których określa się stawkę podatku w wysokości – </w:t>
      </w:r>
      <w:r>
        <w:rPr>
          <w:b/>
          <w:color w:val="000000"/>
          <w:u w:color="000000"/>
        </w:rPr>
        <w:t>11,66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>11,19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</w:t>
      </w:r>
      <w:r>
        <w:rPr>
          <w:color w:val="000000"/>
          <w:u w:color="000000"/>
        </w:rPr>
        <w:t xml:space="preserve"> udzielaniem świadczeń zdrowotnych w rozumieniu przepisów o działalności leczniczej, zajętych przez podmioty udzielające tych świadczeń – </w:t>
      </w:r>
      <w:r>
        <w:rPr>
          <w:b/>
          <w:color w:val="000000"/>
          <w:u w:color="000000"/>
        </w:rPr>
        <w:t>5,25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05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</w:t>
      </w:r>
      <w:r>
        <w:rPr>
          <w:color w:val="000000"/>
          <w:u w:color="000000"/>
        </w:rPr>
        <w:t xml:space="preserve"> pożytku publicznego przez organizacje pożytku publicznego – </w:t>
      </w:r>
      <w:r>
        <w:rPr>
          <w:b/>
          <w:color w:val="000000"/>
          <w:u w:color="000000"/>
        </w:rPr>
        <w:t>7,88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użytkowej, z wyjątkiem budynków gospodarczych, nie objętych zwolnieniem ustawowym, w postaci szklarni i stodół nie zajętych na prowadzenie działalności gospodarczej, </w:t>
      </w:r>
      <w:r>
        <w:rPr>
          <w:color w:val="000000"/>
          <w:u w:color="000000"/>
        </w:rPr>
        <w:t xml:space="preserve">dla których określa się stawkę podatku w wysokości – </w:t>
      </w:r>
      <w:r>
        <w:rPr>
          <w:b/>
          <w:color w:val="000000"/>
          <w:u w:color="000000"/>
        </w:rPr>
        <w:t>0,57</w:t>
      </w:r>
      <w:r>
        <w:rPr>
          <w:color w:val="000000"/>
          <w:u w:color="000000"/>
        </w:rPr>
        <w:t xml:space="preserve"> zł od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:rsidR="00A77B3E" w:rsidRDefault="00B055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>2%</w:t>
      </w:r>
      <w:r>
        <w:rPr>
          <w:color w:val="000000"/>
          <w:u w:color="000000"/>
        </w:rPr>
        <w:t xml:space="preserve"> ich wartości określonej na podstawie art. 4 ust. 1 pkt 3 i ust. 3-7 ustawy z dnia 12 stycznia 1991 r. o podatkach i opłatach lokalnych (Dz. U. z 2</w:t>
      </w:r>
      <w:r>
        <w:rPr>
          <w:color w:val="000000"/>
          <w:u w:color="000000"/>
        </w:rPr>
        <w:t xml:space="preserve">019 r. poz.1170 oraz z 2021 r. poz. 401 i 1558), zwaną dalej: „stawką podstawową”, z wyjątkiem budowli związanych z prowadzeniem działalności w zakresie </w:t>
      </w:r>
      <w:r>
        <w:rPr>
          <w:color w:val="000000"/>
          <w:u w:color="000000"/>
        </w:rPr>
        <w:lastRenderedPageBreak/>
        <w:t>zbiorowego zaopatrzenia w wodę  w rozumieniu ustawy z dnia 7 czerwca 2001 r. o zbiorowym zaopatrzeniu w</w:t>
      </w:r>
      <w:r>
        <w:rPr>
          <w:color w:val="000000"/>
          <w:u w:color="000000"/>
        </w:rPr>
        <w:t xml:space="preserve"> wodę i zbiorowym odprowadzaniu ścieków (Dz. U. z 2020 r. poz. 2028), dla których określa się stawkę podatku w wysokości – </w:t>
      </w:r>
      <w:r>
        <w:rPr>
          <w:b/>
          <w:color w:val="000000"/>
          <w:u w:color="000000"/>
        </w:rPr>
        <w:t>1 %</w:t>
      </w:r>
      <w:r>
        <w:rPr>
          <w:color w:val="000000"/>
          <w:u w:color="000000"/>
        </w:rPr>
        <w:t xml:space="preserve"> ich wartości określonej na podstawie art. 4 ust. 1 pkt 3 i ust. 3-7 ustawy z dnia 12 stycznia 1991 r. o podatkach i opłatach loka</w:t>
      </w:r>
      <w:r>
        <w:rPr>
          <w:color w:val="000000"/>
          <w:u w:color="000000"/>
        </w:rPr>
        <w:t>lnych ( Dz. U. z 2019 r. poz. 1170 oraz z 2021 r. poz. 401 i 1558), zwaną dalej „stawką preferencyjną”.</w:t>
      </w:r>
    </w:p>
    <w:p w:rsidR="00A77B3E" w:rsidRDefault="00B055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Różnica pomiędzy stawką podstawową, a stawką preferencyjną, o których mowa                                                  w § 1 ust. 1 pkt 3 niniej</w:t>
      </w:r>
      <w:r>
        <w:rPr>
          <w:color w:val="000000"/>
          <w:u w:color="000000"/>
        </w:rPr>
        <w:t xml:space="preserve">szej uchwały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zgodnie z rozporządzeniem Komisji (UE) Nr 1407/2013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Dz.Urz</w:t>
      </w:r>
      <w:proofErr w:type="spellEnd"/>
      <w:r>
        <w:rPr>
          <w:color w:val="000000"/>
          <w:u w:color="000000"/>
        </w:rPr>
        <w:t>. UE L 352 z 24.12.2013, L 215 </w:t>
      </w:r>
      <w:r>
        <w:rPr>
          <w:color w:val="000000"/>
          <w:u w:color="000000"/>
        </w:rPr>
        <w:t xml:space="preserve">z 7.7.2020 r.). Stawka preferencyjna w odniesieniu do podatników prowadzących działalność gospodarczą, niezależnie od formy prawnej oraz sposobu finansowania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udzielaną w zakresie i na zasadach wynikających z przepisów prawa Unii Eu</w:t>
      </w:r>
      <w:r>
        <w:rPr>
          <w:color w:val="000000"/>
          <w:u w:color="000000"/>
        </w:rPr>
        <w:t xml:space="preserve">ropejskiej dotyczących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.</w:t>
      </w:r>
    </w:p>
    <w:p w:rsidR="00A77B3E" w:rsidRDefault="00B055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pomocy, o której mowa w ust. 2, wymaga spełnienia warunków wynikających z rozporządzenia Komisji (UE) Nr 1407/2013 z dnia 18 grudnia 2013 r. w sprawie stosowania art. 107 i 108 Traktatu o funkcjono</w:t>
      </w:r>
      <w:r>
        <w:rPr>
          <w:color w:val="000000"/>
          <w:u w:color="000000"/>
        </w:rPr>
        <w:t xml:space="preserve">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352 z 24.12.2013, L 215 z 07.07.2020 r.) oraz z art. 37 ust. 1 ustawy z dnia 30 kwietnia 2004 r. o postępowaniu w sprawach dotyczących pomocy publicznej (Dz. U. z 2021 r. poz. 743).</w:t>
      </w:r>
    </w:p>
    <w:p w:rsidR="00A77B3E" w:rsidRDefault="00B055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 ubi</w:t>
      </w:r>
      <w:r>
        <w:rPr>
          <w:color w:val="000000"/>
          <w:u w:color="000000"/>
        </w:rPr>
        <w:t xml:space="preserve">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o której mowa w ust. 2, zobowiązany jest</w:t>
      </w:r>
      <w:r>
        <w:rPr>
          <w:color w:val="000000"/>
          <w:u w:color="000000"/>
        </w:rPr>
        <w:br/>
        <w:t>do   przedstawienia podmiotowi udzielającemu pomocy, wraz z wnioskiem o udzielenie pomocy:</w:t>
      </w:r>
    </w:p>
    <w:p w:rsidR="00A77B3E" w:rsidRDefault="00B055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w </w:t>
      </w:r>
      <w:r>
        <w:rPr>
          <w:color w:val="000000"/>
          <w:u w:color="000000"/>
        </w:rPr>
        <w:t>rybołówstwie, jakie otrzymały w roku, w którym ubiegają się o pomoc, oraz w ciągu 2 poprzedzających go lat, albo oświadczenia o wielkości tej pomocy otrzymanej w tym okresie, albo oświadczenia o nieotrzymaniu takiej pomocy w tym okresie oraz</w:t>
      </w:r>
    </w:p>
    <w:p w:rsidR="00A77B3E" w:rsidRDefault="00B055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informacji </w:t>
      </w:r>
      <w:r>
        <w:rPr>
          <w:color w:val="000000"/>
          <w:u w:color="000000"/>
        </w:rPr>
        <w:t xml:space="preserve">określonych w 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53, poz. 311,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zm.), na Formularzu informacji przedstawianych przy </w:t>
      </w:r>
      <w:r>
        <w:rPr>
          <w:color w:val="000000"/>
          <w:u w:color="000000"/>
        </w:rPr>
        <w:t xml:space="preserve">ubieganiu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stanowiącym załącznik nr 1 do tego rozporządzenia.</w:t>
      </w:r>
    </w:p>
    <w:p w:rsidR="00A77B3E" w:rsidRDefault="00B05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B05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XXXII/116/2020 Rady Gminy Nieporęt z dnia 26 listopada 2020 r.</w:t>
      </w:r>
      <w:r>
        <w:rPr>
          <w:color w:val="000000"/>
          <w:u w:color="000000"/>
        </w:rPr>
        <w:br/>
        <w:t>w sprawie stawek podat</w:t>
      </w:r>
      <w:r>
        <w:rPr>
          <w:color w:val="000000"/>
          <w:u w:color="000000"/>
        </w:rPr>
        <w:t xml:space="preserve">ku od nieruchomości 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poz. 11934).</w:t>
      </w:r>
    </w:p>
    <w:p w:rsidR="00A77B3E" w:rsidRDefault="00B05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z dniem 1 stycznia 2022 r. po uprzednim ogłoszeniu w Dzienniku Urzędowym </w:t>
      </w:r>
      <w:r>
        <w:rPr>
          <w:color w:val="000000"/>
          <w:u w:color="000000"/>
        </w:rPr>
        <w:t>Województwa Mazowieckiego.</w:t>
      </w:r>
    </w:p>
    <w:p w:rsidR="00172A42" w:rsidRDefault="00172A42">
      <w:pPr>
        <w:keepLines/>
        <w:spacing w:before="120" w:after="120"/>
        <w:ind w:firstLine="340"/>
        <w:rPr>
          <w:color w:val="000000"/>
          <w:u w:color="000000"/>
        </w:rPr>
        <w:sectPr w:rsidR="00172A4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E807BC" w:rsidRDefault="00E807BC">
      <w:pPr>
        <w:rPr>
          <w:szCs w:val="20"/>
        </w:rPr>
      </w:pPr>
    </w:p>
    <w:p w:rsidR="00E807BC" w:rsidRDefault="00B0559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807BC" w:rsidRDefault="00B05591">
      <w:pPr>
        <w:spacing w:before="120" w:after="120"/>
        <w:ind w:firstLine="227"/>
        <w:jc w:val="left"/>
        <w:rPr>
          <w:b/>
          <w:szCs w:val="20"/>
        </w:rPr>
      </w:pPr>
      <w:r>
        <w:rPr>
          <w:b/>
          <w:szCs w:val="20"/>
        </w:rPr>
        <w:t>do projektu uchwały w sprawie stawek podatku od nieruchomości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art.18 ust. 2 pkt 8 ustawy z dnia 8 marca 1990 r. o samorządzie gminnym (Dz. U. z 2021 r. poz. 1372) do właściwości rady gminy należy podejmowa</w:t>
      </w:r>
      <w:r>
        <w:rPr>
          <w:szCs w:val="20"/>
        </w:rPr>
        <w:t>nie uchwał w sprawach podatków i opłat w granicach określonych w odrębnych ustawach.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Art. 5 ust. 1 ustawy z dnia 12 stycznia 1991 r. o podatkach i opłatach lokalnych (Dz. U.</w:t>
      </w:r>
      <w:r>
        <w:rPr>
          <w:szCs w:val="20"/>
        </w:rPr>
        <w:br/>
        <w:t>z 2019 r. poz. 1170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obliguje Radę Gminy do podejmowania uchwał w spra</w:t>
      </w:r>
      <w:r>
        <w:rPr>
          <w:szCs w:val="20"/>
        </w:rPr>
        <w:t xml:space="preserve">wie określenia wysokości stawek podatku od nieruchomości, które nie mogą jednak przekroczyć rocznie stawek maksymalnych dla poszczególnych rodzajów nieruchomości (gruntów, budynków, budowli) zawartych w art. 5 ust. 1 pkt 1-3 powołanej wyżej ustawy. Stawki </w:t>
      </w:r>
      <w:r>
        <w:rPr>
          <w:szCs w:val="20"/>
        </w:rPr>
        <w:t xml:space="preserve">podatku od nieruchomości zaproponowane w niniejszym projekcie uchwały zostały ustalone zgodnie z obwieszczeniem Ministra Finansów, Funduszy i Polityki Regionalnej z dnia 22 lipca 2021 r. w sprawie górnych granic stawek kwotowych podatków i opłat lokalnych </w:t>
      </w:r>
      <w:r>
        <w:rPr>
          <w:szCs w:val="20"/>
        </w:rPr>
        <w:t>na rok 2022 (M. P. poz. 724).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20 ustawy o podatkach i opłatach lokalnych, górne granice stawek kwotowych określone w art. 5 ust. 1 obowiązujące w danym roku podatkowym, ulegają corocznie zmianie na następny rok podatkowy w stopniu odpowia</w:t>
      </w:r>
      <w:r>
        <w:rPr>
          <w:szCs w:val="20"/>
        </w:rPr>
        <w:t>dającym wskaźnikowi cen towarów i usług konsumpcyjnych w okresie pierwszego półrocza roku, w którym stawki ulegają zmianie, w stosunku do analogicznego okresu roku poprzedniego. Minister właściwy do spraw finansów publicznych ogłasza, w drodze obwieszczeni</w:t>
      </w:r>
      <w:r>
        <w:rPr>
          <w:szCs w:val="20"/>
        </w:rPr>
        <w:t>a, w Dzienniku Urzędowym Rzeczypospolitej Polskiej „Monitor Polski”, górne granice stawek kwotowych na każdy rok podatkowy z uwzględnieniem wskaźnika cen towarów i usług konsumpcyjnych zaokrąglając w górę do pełnych groszy.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Wskaźnik cen, o którym mowa w ar</w:t>
      </w:r>
      <w:r>
        <w:rPr>
          <w:szCs w:val="20"/>
        </w:rPr>
        <w:t>t. 20 ust. 1, ustala się na podstawie komunikatu Prezesa Głównego Urzędu Statystycznego ogłoszonego w Dzienniku Urzędowym Rzeczypospolitej Polskiej „Monitor Polski” w terminie 20 dni po upływie pierwszego półrocza.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komunikatem Prezesa Głównego Ur</w:t>
      </w:r>
      <w:r>
        <w:rPr>
          <w:szCs w:val="20"/>
        </w:rPr>
        <w:t>zędu Statystycznego w dnia 15 lipca 2021 r. opublikowanym w Monitorze Polskim z dnia 20 lipca 2021 r. poz. 660, wskaźnik cen towarów i usług konsumpcyjnych w I półroczu 2021 r. w stosunku do I półrocza 2020 r. wyniósł 103,6 (wzrost cen o 3,6%).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Minister wł</w:t>
      </w:r>
      <w:r>
        <w:rPr>
          <w:szCs w:val="20"/>
        </w:rPr>
        <w:t>aściwy do spraw finansów publicznych ogłasza w drodze obwieszczenia,</w:t>
      </w:r>
      <w:r>
        <w:rPr>
          <w:szCs w:val="20"/>
        </w:rPr>
        <w:br/>
        <w:t>w Dzienniku Urzędowym Rzeczypospolitej Polskiej „Monitor Polski”, górne granice stawek kwotowych podatku od nieruchomości. Na rok 2022 stawki podatku od nieruchomości zostały ogłoszone ob</w:t>
      </w:r>
      <w:r>
        <w:rPr>
          <w:szCs w:val="20"/>
        </w:rPr>
        <w:t>wieszczeniem Ministra Finansów, Funduszy i Polityki Regionalnej z dnia 22 lipca 2021 r. (M. P. poz. 724).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podstawie art. 5 ust. 2 i 4 ustawy o podatkach i opłatach lokalnych, rada gminy może także różnicować wysokość stawek podatku od nieruchomości dla </w:t>
      </w:r>
      <w:r>
        <w:rPr>
          <w:szCs w:val="20"/>
        </w:rPr>
        <w:t>poszczególnych rodzajów przedmiotów opodatkowania. Przy określaniu wysokości stawek w przypadku podatku od nieruchomości rada gminy może różnicować ich wysokość dla poszczególnych rodzajów przedmiotów opodatkowania, uwzględniając w szczególności lokalizacj</w:t>
      </w:r>
      <w:r>
        <w:rPr>
          <w:szCs w:val="20"/>
        </w:rPr>
        <w:t>ę, rodzaj prowadzonej działalności, rodzaj zabudowy, przeznaczenie i sposób wykorzystania gruntu.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20b ustawy o podatkach i opłatach lokalnych – w przypadkach, o których mowa w art. 5 ust. 2-4, (…) jeżeli uchwała rady gminy przewiduje udziele</w:t>
      </w:r>
      <w:r>
        <w:rPr>
          <w:szCs w:val="20"/>
        </w:rPr>
        <w:t>nie pomocy publicznej, uchwała ta powinna być podjęta z uwzględnieniem przepisów dotyczących pomocy publicznej.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20c ustawy o podatkach i opłatach lokalnych – w przypadkach, o których mowa w art. 5 ust. 2-4, (…) jeżeli uchwała rady gminy prze</w:t>
      </w:r>
      <w:r>
        <w:rPr>
          <w:szCs w:val="20"/>
        </w:rPr>
        <w:t xml:space="preserve">widuje udzielanie pomocy publicznej, pomoc ta jest udzielana jako pomoc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>.</w:t>
      </w:r>
    </w:p>
    <w:p w:rsidR="00E807BC" w:rsidRDefault="00B05591">
      <w:pPr>
        <w:spacing w:before="120" w:after="120"/>
        <w:ind w:firstLine="227"/>
        <w:rPr>
          <w:szCs w:val="20"/>
        </w:rPr>
      </w:pPr>
      <w:r>
        <w:rPr>
          <w:szCs w:val="20"/>
        </w:rPr>
        <w:t>Z punktu widzenia zabezpieczenia dochodów Gminy celowe jest i zasadne określenie następującej wysokości stawek na 2022 rok: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1) 0,94 zł od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powierzchni dla gruntów związanych z prowadzeniem działalności gospodarczej,  tj. wzrost stawki w stosunku do obowiązującej na 2021 rok o 0,04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5,05 zł od 1ha powierzchni dla gruntów pod  wodami powierzchniowymi stojącymi lub wodami powierzchniowymi</w:t>
      </w:r>
      <w:r>
        <w:rPr>
          <w:color w:val="000000"/>
          <w:szCs w:val="20"/>
          <w:u w:color="000000"/>
        </w:rPr>
        <w:t xml:space="preserve"> płynącymi jezior i zbiorników sztucznych, tj. wzrost stawki w stosunku do obowiązującej na 2021 rok o 0,18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3) 0,40 zł od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powierzchni dla gruntów pozostałych, tj. wzrost stawki w stosunku do obowiązującej na 2021 rok o 0,03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3,32 zł od 1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>po</w:t>
      </w:r>
      <w:r>
        <w:rPr>
          <w:color w:val="000000"/>
          <w:szCs w:val="20"/>
          <w:u w:color="000000"/>
        </w:rPr>
        <w:t>wierzchni dla gruntów niezabudowanych objętych obszarem rewitalizacji, o którym mowa w ustawie z dnia 9 października 2015 r. o rewitalizacji, tj. wzrost stawki w stosunku do obowiązującej na 2021 r. o 0,12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0,79 zł od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powierzchni użytkowej budynk</w:t>
      </w:r>
      <w:r>
        <w:rPr>
          <w:color w:val="000000"/>
          <w:szCs w:val="20"/>
          <w:u w:color="000000"/>
        </w:rPr>
        <w:t>ów mieszkalnych, tj. wzrost stawki w stosunku do obowiązującej na 2021 rok o 0,04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23,31 zł od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powierzchni użytkowej budynków zajętych na prowadzenie działalności gospodarczej, tj. wzrost stawki w stosunku do obowiązującej na 2020 rok o 0,81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11,19 zł od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powierzchni użytkowej budynków zajętych na prowadzenie działalności gospodarczej w zakresie obrotu kwalifikowanym materiałem siewnym, tj. wzrost stawki w stosunku do obowiązującej na 2021 rok o 0,39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5,25 zł od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powierzchni użyt</w:t>
      </w:r>
      <w:r>
        <w:rPr>
          <w:color w:val="000000"/>
          <w:szCs w:val="20"/>
          <w:u w:color="000000"/>
        </w:rPr>
        <w:t>kowej budynków związanych z udzielaniem świadczeń zdrowotnych w rozumieniu przepisów o działalności leczniczej, zajętych przez podmioty udzielające tych świadczeń, tj. wzrost stawki w stosunku do obowiązującej na 2021 rok o 0,19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7,88 zł od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powie</w:t>
      </w:r>
      <w:r>
        <w:rPr>
          <w:color w:val="000000"/>
          <w:szCs w:val="20"/>
          <w:u w:color="000000"/>
        </w:rPr>
        <w:t>rzchni użytkowej pozostałych budynków, w tym zajętych na prowadzenie odpłatnej statutowej działalności pożytku publicznego przez organizacje pożytku publicznego tj. wzrost stawki w stosunku do obowiązującej na 2021 rok o 0,28 zł,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2% od wartości budowli</w:t>
      </w:r>
      <w:r>
        <w:rPr>
          <w:color w:val="000000"/>
          <w:szCs w:val="20"/>
          <w:u w:color="000000"/>
        </w:rPr>
        <w:t>, tj. pozostawienie w takiej samej wysokości jak obowiązującej na 2021 r.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Preferencyjne stawki tj. obniżone w stosunku do górnych granic określonych przez Ministra Finansów zastosowano przy ustalaniu wysokości następujących stawek: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od gruntów związanych</w:t>
      </w:r>
      <w:r>
        <w:rPr>
          <w:color w:val="000000"/>
          <w:szCs w:val="20"/>
          <w:u w:color="000000"/>
        </w:rPr>
        <w:t xml:space="preserve"> z prowadzeniem działalności gospodarczej, bez względu na sposób zakwalifikowania w ewidencji gruntów i budynków (91,26% stawki M.F.),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od gruntów pod wodami powierzchniowymi stojącymi lub wodami powierzchniowymi płynącymi jezior i zbiorników sztucznych </w:t>
      </w:r>
      <w:r>
        <w:rPr>
          <w:color w:val="000000"/>
          <w:szCs w:val="20"/>
          <w:u w:color="000000"/>
        </w:rPr>
        <w:t>(97,68% stawki M.F.),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od gruntów pozostałych, w tym zajętych na prowadzenie odpłatnej statutowej działalności pożytku publicznego przez organizacje pożytku publicznego (74,07 % stawki M.F.),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niezabudowanych objętych obszarem rewitalizacji, o którym m</w:t>
      </w:r>
      <w:r>
        <w:rPr>
          <w:color w:val="000000"/>
          <w:szCs w:val="20"/>
          <w:u w:color="000000"/>
        </w:rPr>
        <w:t>owa w ustawie z dnia</w:t>
      </w:r>
      <w:r>
        <w:rPr>
          <w:color w:val="000000"/>
          <w:szCs w:val="20"/>
          <w:u w:color="000000"/>
        </w:rPr>
        <w:br/>
        <w:t>9 października 2015 r. o rewitalizacji (Dz. U. z 2021 r. poz. 2028), i położonych na terenach, dla których miejscowy plan zagospodarowania przestrzennego przewiduje przeznaczenie pod zabudowę mieszkaniową, usługową albo zabudowę o prze</w:t>
      </w:r>
      <w:r>
        <w:rPr>
          <w:color w:val="000000"/>
          <w:szCs w:val="20"/>
          <w:u w:color="000000"/>
        </w:rPr>
        <w:t>znaczeniu mieszanym obejmującym wyłącznie te rodzaje zabudowy, jeżeli od dnia wejścia w życie tego planu w odniesieniu do tych gruntów upłynął okres 4 lat, a w tym czasie nie zakończono budowy zgodnie z przepisami prawa budowlanego (97,65% stawki M. F.)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</w:t>
      </w:r>
      <w:r>
        <w:rPr>
          <w:color w:val="000000"/>
          <w:szCs w:val="20"/>
          <w:u w:color="000000"/>
        </w:rPr>
        <w:t xml:space="preserve"> od budynków mieszkalnych (88,76 % stawki M.F.)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od budynków związanych z prowadzeniem działalności gospodarczej oraz od budynków mieszkalnych lub ich części zajętych na prowadzenie działalności gospodarczej (90,56% stawki M.F.),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7) od budynków zajętych </w:t>
      </w:r>
      <w:r>
        <w:rPr>
          <w:color w:val="000000"/>
          <w:szCs w:val="20"/>
          <w:u w:color="000000"/>
        </w:rPr>
        <w:t>na prowadzenie działalności gospodarczej w zakresie obrotu kwalifikowanym materiałem siewnym (92,94% stawki M.F.),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od budynków pozostałych, w tym zajętych na prowadzenie odpłatnej statutowej działalności pożytku publicznego przez org. pożytku publiczneg</w:t>
      </w:r>
      <w:r>
        <w:rPr>
          <w:color w:val="000000"/>
          <w:szCs w:val="20"/>
          <w:u w:color="000000"/>
        </w:rPr>
        <w:t>o (90,78% stawki M.F.).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Proponowane wartości stawek ( z wyjątkiem stawki dla gruntów pozostałych oraz stawki dla budynków mieszkalnych) to jedynie urealnienie o wskaźnik wzrostu stawek maksymalnych na przyszły rok, o wskaźnik inflacji w I półroczu 2021 r. </w:t>
      </w:r>
      <w:r>
        <w:rPr>
          <w:color w:val="000000"/>
          <w:szCs w:val="20"/>
          <w:u w:color="000000"/>
        </w:rPr>
        <w:t>w stosunku do I półrocza 2020 r. czyli o 3,6%.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Proponowane – obniżone w stosunku do ustalonych przez Ministra Finansów stawki - powodują obniżenie dochodów Gminy z tytułu podatku od nieruchomości o kwotę w wysokości ok. </w:t>
      </w:r>
      <w:r>
        <w:rPr>
          <w:b/>
          <w:color w:val="000000"/>
          <w:szCs w:val="20"/>
          <w:u w:color="000000"/>
        </w:rPr>
        <w:t>1 896 032,00 zł</w:t>
      </w:r>
      <w:r>
        <w:rPr>
          <w:color w:val="000000"/>
          <w:szCs w:val="20"/>
          <w:u w:color="000000"/>
        </w:rPr>
        <w:t>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przewiduje </w:t>
      </w:r>
      <w:r>
        <w:rPr>
          <w:color w:val="000000"/>
          <w:szCs w:val="20"/>
          <w:u w:color="000000"/>
        </w:rPr>
        <w:t xml:space="preserve">utrzymanie istniejącej od 2018 r. na terenie gminy zróżnicowanej stawki podatkowej, dotyczącej „budynków pozostałych” w postaci stodół posadowionych na użytkach rolnych niestanowiących </w:t>
      </w:r>
      <w:r>
        <w:rPr>
          <w:color w:val="000000"/>
          <w:szCs w:val="20"/>
          <w:u w:color="000000"/>
        </w:rPr>
        <w:lastRenderedPageBreak/>
        <w:t>gospodarstw rolnych oraz szklarni niezajętych na prowadzenie działów sp</w:t>
      </w:r>
      <w:r>
        <w:rPr>
          <w:color w:val="000000"/>
          <w:szCs w:val="20"/>
          <w:u w:color="000000"/>
        </w:rPr>
        <w:t>ecjalnych produkcji rolnej oraz różnicowanie stawki podatkowej od budowli, tj. wprowadzony od 2016 r. wyjątek/ stawkę preferencyjną – dla budowli związanych z prowadzeniem działalności w zakresie zbiorowego zaopatrzenia w wodę w rozumieniu ustawy z dnia 7 </w:t>
      </w:r>
      <w:r>
        <w:rPr>
          <w:color w:val="000000"/>
          <w:szCs w:val="20"/>
          <w:u w:color="000000"/>
        </w:rPr>
        <w:t>czerwca 2001 r. o zbiorowym zaopatrzeniu w wodę i zbiorowym odprowadzaniu ścieków              ( Dz. U. z 2021 r. poz. 2028)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przewiduje również utrzymanie wprowadzonej w latach ubiegłych preferencyjnej  stawki podatkowej od budynków lub ich części </w:t>
      </w:r>
      <w:r>
        <w:rPr>
          <w:color w:val="000000"/>
          <w:szCs w:val="20"/>
          <w:u w:color="000000"/>
        </w:rPr>
        <w:t>zajętych na prowadzenie działalności gospodarczej, w zakresie prowadzenia żłobków i klubów dziecięcych wpisanych do rejestru żłobków i klubów dziecięcych zgodnie z ustawą z dnia 4 lutego 2011 r. o opiece nad dziećmi w wieku do lat 3 (Dz. U. z 2021 r. poz. </w:t>
      </w:r>
      <w:r>
        <w:rPr>
          <w:color w:val="000000"/>
          <w:szCs w:val="20"/>
          <w:u w:color="000000"/>
        </w:rPr>
        <w:t>75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dla wszystkich nieruchomości, w których prowadzona jest działalność w zakresie prowadzenia żłobków i klubów dziecięcych, a które nie mieszczą się w ramach zwolnienia ustawowego.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Unii Europejskiej (UE) zasadniczo obowiązuje zakaz udzielani</w:t>
      </w:r>
      <w:r>
        <w:rPr>
          <w:color w:val="000000"/>
          <w:szCs w:val="20"/>
          <w:u w:color="000000"/>
        </w:rPr>
        <w:t>a pomocy publicznej. Unia Europejska stoi bowiem na stanowisku, że każda forma sel</w:t>
      </w:r>
      <w:r w:rsidR="00172A42">
        <w:rPr>
          <w:color w:val="000000"/>
          <w:szCs w:val="20"/>
          <w:u w:color="000000"/>
        </w:rPr>
        <w:t xml:space="preserve">ektywnego wsparcia, udzielanego </w:t>
      </w:r>
      <w:r>
        <w:rPr>
          <w:color w:val="000000"/>
          <w:szCs w:val="20"/>
          <w:u w:color="000000"/>
        </w:rPr>
        <w:t>z zasobów państwowych podmiotom zaangażowanym w działalność gospodarczą, mającą wpływ na wewnętrzny rynek UE, stawia ich w pozycji uprzywilejo</w:t>
      </w:r>
      <w:r>
        <w:rPr>
          <w:color w:val="000000"/>
          <w:szCs w:val="20"/>
          <w:u w:color="000000"/>
        </w:rPr>
        <w:t>wanej względem tych, którzy pomocy nie otrzymali. Takie selektywne wsparcie powoduje, że zakłócona zostaje swobodna konkurencja. Z pomocą publiczną będziemy mieli do czynienia, o ile wsparcie: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dotyczy przedsiębiorstwa (przedsiębiorcy) w rozumieniu unijn</w:t>
      </w:r>
      <w:r>
        <w:rPr>
          <w:color w:val="000000"/>
          <w:szCs w:val="20"/>
          <w:u w:color="000000"/>
        </w:rPr>
        <w:t>ego prawa konkurencji,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udzielane jest przez państwo lub pochodzi ze środków państwowych,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udzielane jest na warunkach korzystniejszych niż oferowane na rynku,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4) ma charakter selektywny (uprzywilejowuje określone przedsiębiorstwo lub przedsiębiorstwa </w:t>
      </w:r>
      <w:r>
        <w:rPr>
          <w:color w:val="000000"/>
          <w:szCs w:val="20"/>
          <w:u w:color="000000"/>
        </w:rPr>
        <w:t>albo produkcję określonych towarów),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grozi zakłóceniem lub zakłóca konkurencję oraz wpływa na wymianę handlową między państwami członkowskimi UE.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Należy zauważyć, że pojęcie przedsiębiorstwa jest szeroko rozumiane i obejmuje swym zakresem wszystkie kate</w:t>
      </w:r>
      <w:r>
        <w:rPr>
          <w:color w:val="000000"/>
          <w:szCs w:val="20"/>
          <w:u w:color="000000"/>
        </w:rPr>
        <w:t>gorie podmiotów zaangażowanych w działalność gospodarczą, niezależnie od formy prawnej tych podmiotów i źródeł ich finansowania.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Pomoc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stanowi szczególną kategorię wsparcia udzielanego przez państwo, gdyż uznaje się, że ze względu na swą małą wa</w:t>
      </w:r>
      <w:r>
        <w:rPr>
          <w:color w:val="000000"/>
          <w:szCs w:val="20"/>
          <w:u w:color="000000"/>
        </w:rPr>
        <w:t>rtość nie powoduje ona zakłócenia konkurencji w wymiarze unijnym.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powyższym, nie stanowi ona de facto pomocy publicznej w rozumieniu art. 107 ust. 1 TFUE, a w konsekwencji nie podlega obowiązkowi notyfikacji Komisji Europejskiej. Zasady udziela</w:t>
      </w:r>
      <w:r>
        <w:rPr>
          <w:color w:val="000000"/>
          <w:szCs w:val="20"/>
          <w:u w:color="000000"/>
        </w:rPr>
        <w:t xml:space="preserve">nia pomocy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określa Rozporządzenie Komisji (UE) Nr 1407/2013 z dnia 18 grudnia 2013 r. w sprawie stosowania art. 107 i 108 Traktatu o funkcjonowaniu Unii Europejskiej do pomocy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(Dz. Urz. UE L 352 z 24.12.2013, L 215 z 7.7.2020).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Łączna</w:t>
      </w:r>
      <w:r>
        <w:rPr>
          <w:color w:val="000000"/>
          <w:szCs w:val="20"/>
          <w:u w:color="000000"/>
        </w:rPr>
        <w:t xml:space="preserve"> wartość pomocy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dla jednego beneficjenta nie może przekroczyć równowartości 200 tys. euro brutto w okresie 3 lat podatkowych, a w przypadku podmiotu prowadzącego działalność gospodarczą w sektorze transportu drogowego towarów – 100 tys. euro. Do</w:t>
      </w:r>
      <w:r>
        <w:rPr>
          <w:color w:val="000000"/>
          <w:szCs w:val="20"/>
          <w:u w:color="000000"/>
        </w:rPr>
        <w:t>konując oceny wniosku przedsiębiorcy, bierze się pod uwagę bieżący rok kalendarzowy oraz dwa poprzednie lata. Nie ma znaczenia forma pomocy, źródło jej pochodzenia ani cel, na jaki została wykorzystana - do ogólnej puli wliczane są wszystkie środki uzyskan</w:t>
      </w:r>
      <w:r>
        <w:rPr>
          <w:color w:val="000000"/>
          <w:szCs w:val="20"/>
          <w:u w:color="000000"/>
        </w:rPr>
        <w:t xml:space="preserve">e przez danego przedsiębiorcę jako pomoc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w badanym okresie.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Żłobki i kluby dziecięce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Jednak stosownie do Stanowiska wspólnego Urzędu Ochrony Konkurencji i Konsumentów </w:t>
      </w:r>
      <w:r>
        <w:rPr>
          <w:color w:val="000000"/>
          <w:szCs w:val="20"/>
          <w:u w:color="000000"/>
        </w:rPr>
        <w:br/>
        <w:t>oraz Ministerstwa Finansów  w sprawie stosowania przepisów o pomocy publiczne</w:t>
      </w:r>
      <w:r>
        <w:rPr>
          <w:color w:val="000000"/>
          <w:szCs w:val="20"/>
          <w:u w:color="000000"/>
        </w:rPr>
        <w:t>j w zakresie podatków i opłat lokalnych, podatku rolnego i leśnego w 2005 r. , różnicowanie stawek podatkowych na podstawie ustawy z dnia 12 stycznia 1991 r. o podatkach i opłatach lokalnych, nie stanowi pomocy publicznej w rozumieniu art. 107 ust. 1 TFUE,</w:t>
      </w:r>
      <w:r>
        <w:rPr>
          <w:color w:val="000000"/>
          <w:szCs w:val="20"/>
          <w:u w:color="000000"/>
        </w:rPr>
        <w:t xml:space="preserve"> pod warunkiem, że takie rozwiązania mają charakter systemowy tj. </w:t>
      </w:r>
      <w:r>
        <w:rPr>
          <w:color w:val="000000"/>
          <w:szCs w:val="20"/>
          <w:u w:val="single" w:color="000000"/>
        </w:rPr>
        <w:t>stanowią one integralny element lokalnego systemu opodatkowania, a ich celem nie jest udzielanie pomocy konkretnym przedsiębiorcom, czy też wspieranie konkretnych rodzajów działalności gospo</w:t>
      </w:r>
      <w:r>
        <w:rPr>
          <w:color w:val="000000"/>
          <w:szCs w:val="20"/>
          <w:u w:val="single" w:color="000000"/>
        </w:rPr>
        <w:t>darczej</w:t>
      </w:r>
      <w:r>
        <w:rPr>
          <w:color w:val="000000"/>
          <w:szCs w:val="20"/>
          <w:u w:color="000000"/>
        </w:rPr>
        <w:t>. Zgodnie z art. 26 ustawy z dnia 4 lutego 2011 r. o opiece nad dziećmi w wieku do lat 3 (Dz. U. z 2021 r., poz. 75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prowadzenie </w:t>
      </w:r>
      <w:r>
        <w:rPr>
          <w:color w:val="000000"/>
          <w:szCs w:val="20"/>
          <w:u w:color="000000"/>
        </w:rPr>
        <w:lastRenderedPageBreak/>
        <w:t>żłobka lub klubu dziecięcego jest działalnością regulowaną w rozumieniu ustawy o swobodzie działalności gosp</w:t>
      </w:r>
      <w:r>
        <w:rPr>
          <w:color w:val="000000"/>
          <w:szCs w:val="20"/>
          <w:u w:color="000000"/>
        </w:rPr>
        <w:t>odarczej i wymaga wpisu do rejestru żłobków i klubów dziecięcych. Jest więc to działalność gospodarcza, a w związku z tym nieruchomości będące w posiadaniu podmiotu ją prowadzącego (nie musi to być przedsiębiorca) należy opodatkować jako „związane z prowad</w:t>
      </w:r>
      <w:r>
        <w:rPr>
          <w:color w:val="000000"/>
          <w:szCs w:val="20"/>
          <w:u w:color="000000"/>
        </w:rPr>
        <w:t>zeniem działalności gospodarczej” w rozumieniu art. 1a ust. 1 pkt 3 ustawy o podatkach i opłatach lokalnych. Po analizie stanowiska Urzędu Ochrony Konkurencji i Konsumentów w odniesieniu do ustalenia niższej stawki podatku od nieruchomości w stosunku do bu</w:t>
      </w:r>
      <w:r>
        <w:rPr>
          <w:color w:val="000000"/>
          <w:szCs w:val="20"/>
          <w:u w:color="000000"/>
        </w:rPr>
        <w:t>dynków zajętych na prowadzenie działalności gospodarczej w zakresie prowadzenia żłobków i klubów dziecięcych, o których mowa w przepisie w  §  1 ust. 1 pkt 2 lit. b) projektu uchwały, uznano za zasadne przyjęcie, że konstrukcja polskiego systemu opieki nad</w:t>
      </w:r>
      <w:r>
        <w:rPr>
          <w:color w:val="000000"/>
          <w:szCs w:val="20"/>
          <w:u w:color="000000"/>
        </w:rPr>
        <w:t xml:space="preserve"> dziećmi do lat 3 oparta na przepisach ustawy z dnia 4 lutego 2011r. o opiece nad dziećmi w wieku do lat 3 (Dz. U. z 2021 r., poz. 75 z późn.zm.) </w:t>
      </w:r>
      <w:r>
        <w:rPr>
          <w:color w:val="000000"/>
          <w:szCs w:val="20"/>
          <w:u w:val="single" w:color="000000"/>
        </w:rPr>
        <w:t>w praktyce wyklucza transgraniczny charakter tej działalności (ma on zasięg stricte lokalny), brak jest bowiem</w:t>
      </w:r>
      <w:r>
        <w:rPr>
          <w:color w:val="000000"/>
          <w:szCs w:val="20"/>
          <w:u w:val="single" w:color="000000"/>
        </w:rPr>
        <w:t xml:space="preserve"> zainteresowania ze strony obywateli zamieszkujących w innych państwach członkowskich </w:t>
      </w:r>
      <w:r>
        <w:rPr>
          <w:color w:val="000000"/>
          <w:szCs w:val="20"/>
          <w:u w:val="single" w:color="000000"/>
        </w:rPr>
        <w:br/>
        <w:t xml:space="preserve">do korzystania z opieki nad swoimi dziećmi w placówkach zlokalizowanych w Polsce. 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Jak słusznie wskazał UOKiK - ,,</w:t>
      </w:r>
      <w:r>
        <w:rPr>
          <w:i/>
          <w:color w:val="000000"/>
          <w:szCs w:val="20"/>
          <w:u w:color="000000"/>
        </w:rPr>
        <w:t>w tym kontekście należy zwrócić uwagę na decyzję Wysoki</w:t>
      </w:r>
      <w:r>
        <w:rPr>
          <w:i/>
          <w:color w:val="000000"/>
          <w:szCs w:val="20"/>
          <w:u w:color="000000"/>
        </w:rPr>
        <w:t xml:space="preserve">ej Władzy EFTA w sprawie publicznego finansowania gminnych instytucji opieki nad dziećmi </w:t>
      </w:r>
      <w:r>
        <w:rPr>
          <w:i/>
          <w:color w:val="000000"/>
          <w:szCs w:val="20"/>
          <w:u w:color="000000"/>
        </w:rPr>
        <w:br/>
        <w:t xml:space="preserve">w Norwegii. Odnosząc się do przesłanki zakłócenia konkurencji oraz wpływu na wymianę handlową Wysoka Władza zwróciła uwagę, że </w:t>
      </w:r>
      <w:r>
        <w:rPr>
          <w:i/>
          <w:color w:val="000000"/>
          <w:szCs w:val="20"/>
          <w:u w:val="single" w:color="000000"/>
        </w:rPr>
        <w:t>gmina jest zobowiązana do zapewnienia o</w:t>
      </w:r>
      <w:r>
        <w:rPr>
          <w:i/>
          <w:color w:val="000000"/>
          <w:szCs w:val="20"/>
          <w:u w:val="single" w:color="000000"/>
        </w:rPr>
        <w:t>pieki przedszkolnej nad dziećmi tylko dla jej mieszkańców i pokrywa jedynie koszty funkcjonowania ośrodków opieki w gminie</w:t>
      </w:r>
      <w:r>
        <w:rPr>
          <w:i/>
          <w:color w:val="000000"/>
          <w:szCs w:val="20"/>
          <w:u w:color="000000"/>
        </w:rPr>
        <w:t>. Z drugiej strony stwierdzono, że w Norwegii nie ma podmiotów zagranicznych oferujących tego rodzaju świadczenia. Władza uznała także</w:t>
      </w:r>
      <w:r>
        <w:rPr>
          <w:i/>
          <w:color w:val="000000"/>
          <w:szCs w:val="20"/>
          <w:u w:color="000000"/>
        </w:rPr>
        <w:t xml:space="preserve"> za mało prawdopodobne zainteresowanie zagranicznych podmiotów świadczeniem ww. opieki w Norwegii, ze względu na ograniczenie maksymalnych stawek wpłat rodziców </w:t>
      </w:r>
      <w:r>
        <w:rPr>
          <w:i/>
          <w:color w:val="000000"/>
          <w:szCs w:val="20"/>
          <w:u w:color="000000"/>
        </w:rPr>
        <w:br/>
        <w:t>oraz ograniczenie zobowiązań gmin do pokrycia ze środków publicznych tylko poniesionych kosztó</w:t>
      </w:r>
      <w:r>
        <w:rPr>
          <w:i/>
          <w:color w:val="000000"/>
          <w:szCs w:val="20"/>
          <w:u w:color="000000"/>
        </w:rPr>
        <w:t>w funkcjonowania niepublicznych ośrodków opieki nad dzieckiem, w wysokości nieprzekraczającej kosztów ponoszonych przez podobne ośrodki nad dziećmi, których właścicielem jest gmina. W związku z powyższym, Władza uznała, iż przedmiotowe wsparcie nie dotyczy</w:t>
      </w:r>
      <w:r>
        <w:rPr>
          <w:i/>
          <w:color w:val="000000"/>
          <w:szCs w:val="20"/>
          <w:u w:color="000000"/>
        </w:rPr>
        <w:t xml:space="preserve"> działalności gospodarczej (publiczne placówki opieki przedszkolnej nie są przedsiębiorstwami) i nie wpłynie na wymianę handlową, a tym samym nie stanowi pomocy publicznej. 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powyższym, w tym podzielając ocenę UOKiK uznano, że ustalenie przez Gm</w:t>
      </w:r>
      <w:r>
        <w:rPr>
          <w:color w:val="000000"/>
          <w:szCs w:val="20"/>
          <w:u w:color="000000"/>
        </w:rPr>
        <w:t>inę Nieporęt niższej stawki podatku od nieruchomości w stosunku do budynków zajętych</w:t>
      </w:r>
      <w:r>
        <w:rPr>
          <w:color w:val="000000"/>
          <w:szCs w:val="20"/>
          <w:u w:color="000000"/>
        </w:rPr>
        <w:br/>
        <w:t>na prowadzenie żłobków i klubów dziecięcych nie grozi zakłóceniem konkurencji oraz nie wpływa na wymianę handlową między państwami członkowskimi i tym samym nie stanowi po</w:t>
      </w:r>
      <w:r>
        <w:rPr>
          <w:color w:val="000000"/>
          <w:szCs w:val="20"/>
          <w:u w:color="000000"/>
        </w:rPr>
        <w:t>mocy publicznej w rozumieniu art. 107 ust.1 TFUE".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Zbiorowe zaopatrzenie w wodę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 pkt 21  ustawy z dnia 7 czerwca 2001 r. o zbiorowym zaopatrzeniu w wodę i zbiorowym odprowadzaniu ścieków (Dz. U. z 2020 r. poz. 2028) - przez zbiorowe zaopatr</w:t>
      </w:r>
      <w:r>
        <w:rPr>
          <w:color w:val="000000"/>
          <w:szCs w:val="20"/>
          <w:u w:color="000000"/>
        </w:rPr>
        <w:t>zenie w wodę,  rozumie się działalność polegającą na ujmowaniu, uzdatnianiu i dostarczaniu wody, prowadzoną przez przedsiębiorstwo wodociągowo-kanalizacyjne.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 pkt 16 w/w ustawy budowle - urządzenia wodociągowe - to ujęcia wód powierzchniowy</w:t>
      </w:r>
      <w:r>
        <w:rPr>
          <w:color w:val="000000"/>
          <w:szCs w:val="20"/>
          <w:u w:color="000000"/>
        </w:rPr>
        <w:t>ch i podziemnych, studnie publiczne, urządzenia służące do magazynowania i uzdatniania wód, sieci wodociągowe, urządzenia regulujące ciśnienie wody.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Działalność w zakresie zbiorowego zaopatrzenia w wodę prowadzą przedsiębiorstwa wodociągowo-kanalizacyjne, </w:t>
      </w:r>
      <w:r>
        <w:rPr>
          <w:color w:val="000000"/>
          <w:szCs w:val="20"/>
          <w:u w:color="000000"/>
        </w:rPr>
        <w:t>którymi zgodnie z art. 2 pkt 4 wyżej powołanej ustawy są przedsiębiorcy w rozumieniu przepisów o swobodzie działalności gospodarczej, jeżeli prowadzą działalność gospodarczą w zakresie zbiorowego zaopatrzenia w wodę lub zbiorowego odprowadzania ścieków, or</w:t>
      </w:r>
      <w:r>
        <w:rPr>
          <w:color w:val="000000"/>
          <w:szCs w:val="20"/>
          <w:u w:color="000000"/>
        </w:rPr>
        <w:t>az gminne jednostki organizacyjne nieposiadające osobowości prawnej, prowadzące tego rodzaju działalność.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7 ust. 1 pkt 3 ustawy z dnia 8 marca 1990 r. o samorządzie gminnym (Dz. U. z 2021 r. poz. 1372) – sprawy wodociągów i zaopatrzenia w wo</w:t>
      </w:r>
      <w:r>
        <w:rPr>
          <w:color w:val="000000"/>
          <w:szCs w:val="20"/>
          <w:u w:color="000000"/>
        </w:rPr>
        <w:t>dę (…) należą do zadań własnych gminy. Potwierdzeniem nałożenia na gminę obowiązków w zakresie zbiorowego zaopatrzenia w wodę jest art. 3 ust. 1  ustawy o zbiorowym zaopatrzeniu w wodę i zbiorowym odprowadzaniu ścieków, który stanowi, że zbiorowe zaopatrze</w:t>
      </w:r>
      <w:r>
        <w:rPr>
          <w:color w:val="000000"/>
          <w:szCs w:val="20"/>
          <w:u w:color="000000"/>
        </w:rPr>
        <w:t xml:space="preserve">nie w wodę i zbiorowe odprowadzanie ścieków jest zadaniem własnym gminy. Wyżej wymienione zadanie gmina Nieporęt realizuje za pośrednictwem gminnej sieci wodociągowej eksploatowanej przez </w:t>
      </w:r>
      <w:r>
        <w:rPr>
          <w:color w:val="000000"/>
          <w:szCs w:val="20"/>
          <w:u w:color="000000"/>
        </w:rPr>
        <w:lastRenderedPageBreak/>
        <w:t>działający w formie zakładu budżetowego - Gminny Zakład Komunalny w </w:t>
      </w:r>
      <w:r>
        <w:rPr>
          <w:color w:val="000000"/>
          <w:szCs w:val="20"/>
          <w:u w:color="000000"/>
        </w:rPr>
        <w:t>Nieporęcie, zwany dalej GZK.  Mieszkańcy nie korzystający z gminnej sieci wodociągowej zaopatrują się w wodę z ujęć własnych.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Działalność w zakresie dostarczania wody polega na oferowaniu na rynku usług i stanowi działalność gospodarczą w rozumieniu prawa </w:t>
      </w:r>
      <w:r>
        <w:rPr>
          <w:color w:val="000000"/>
          <w:szCs w:val="20"/>
          <w:u w:color="000000"/>
        </w:rPr>
        <w:t>unijnego, i co do zasady działalność ta ma charakter monopolu naturalnego.  Pojęcie „monopol naturalny” nie jest zdefiniowane ani w prawie Unii Europejskiej ani w prawie polskim. Z tego powodu należy odwołać się do określenia ekonomicznego. Monopol natural</w:t>
      </w:r>
      <w:r>
        <w:rPr>
          <w:color w:val="000000"/>
          <w:szCs w:val="20"/>
          <w:u w:color="000000"/>
        </w:rPr>
        <w:t>ny polega na tym, że źródłem wyłączności na działalność danego podmiotu w danym zakresie są warunki prowadzenia racjonalnej działalności gospodarczej, sprawiające, że jest ona wyłącznością jednego podmiotu (przedsiębiorcy), gdyż działalność innego podmiotu</w:t>
      </w:r>
      <w:r>
        <w:rPr>
          <w:color w:val="000000"/>
          <w:szCs w:val="20"/>
          <w:u w:color="000000"/>
        </w:rPr>
        <w:t xml:space="preserve"> gospodarczego na tzw. rynku relewantnym jest wyłączona w świetle przyjętych kryteriów wyznaczających racjonalność działalności gospodarczej.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definicją zawartą w Słowniku Języka Polskiego monopolista naturalny to przedsiębiorstwo lub grupa </w:t>
      </w:r>
      <w:r>
        <w:rPr>
          <w:color w:val="000000"/>
          <w:szCs w:val="20"/>
          <w:u w:color="000000"/>
        </w:rPr>
        <w:t>przedsiębiorstw decydująca o produkcji i cenie jakiegoś towaru lub usługi i przez to mająca wpływ na to, czy jest ona dostępna dla kupujących. Podobnie zdefiniowany został monopol naturalny przez Urząd Ochrony Konkurencji i Konsumentów, który określa tym p</w:t>
      </w:r>
      <w:r>
        <w:rPr>
          <w:color w:val="000000"/>
          <w:szCs w:val="20"/>
          <w:u w:color="000000"/>
        </w:rPr>
        <w:t>ojęciem sytuację, w której ze względów ekonomicznych tylko jeden przedsiębiorca może wytwarzać dane dobro (towar) efektywniej niż kilku konkurencyjnych przedsiębiorców; występuje on najczęściej w postaci monopolu sieciowego związanego</w:t>
      </w:r>
      <w:r>
        <w:rPr>
          <w:color w:val="000000"/>
          <w:szCs w:val="20"/>
          <w:u w:color="000000"/>
        </w:rPr>
        <w:br/>
        <w:t>z istnieniem określon</w:t>
      </w:r>
      <w:r>
        <w:rPr>
          <w:color w:val="000000"/>
          <w:szCs w:val="20"/>
          <w:u w:color="000000"/>
        </w:rPr>
        <w:t>ej infrastruktury technicznej; przykłady: dostawa energii elektrycznej, wody, gazu ziemnego, czy transport kolejowy 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Sieć wodno-kanalizacyjna to infrastruktura, której budowa i utrzymanie jest wysoce kapitałochłonne. Działalność w zakresie obsługi i zarzą</w:t>
      </w:r>
      <w:r>
        <w:rPr>
          <w:color w:val="000000"/>
          <w:szCs w:val="20"/>
          <w:u w:color="000000"/>
        </w:rPr>
        <w:t>dzania taką infrastrukturą ma charakter „monopolu naturalnego”. Oznacza to, że warunki i specyfika działalności gospodarczej sprawiają, że na określonym terenie może być ona prowadzona wyłącznie przez jeden podmiot, ponieważ ewentualne funkcjonowanie inneg</w:t>
      </w:r>
      <w:r>
        <w:rPr>
          <w:color w:val="000000"/>
          <w:szCs w:val="20"/>
          <w:u w:color="000000"/>
        </w:rPr>
        <w:t xml:space="preserve">o podmiotu jest z punktu widzenia racjonalności gospodarczej wyłączone i technicznie niemożliwe. Można więc stwierdzić, iż w zakresie tej działalności nie istnieje konkurencja. Ponadto, co do zasady, infrastruktura ta użytkowana jest przez przedsiębiorcę, </w:t>
      </w:r>
      <w:r>
        <w:rPr>
          <w:color w:val="000000"/>
          <w:szCs w:val="20"/>
          <w:u w:color="000000"/>
        </w:rPr>
        <w:t>nad którego działalnością pełną kontrolę sprawuje gmina. Jeżeli zatem dany podmiot prowadzi wyłącznie działalność na rynku lokalnym, można stwierdzić, iż wspieranie działań w zakresie omówionej działalności nie zakłóca lub nie grozi zakłóceniem konkurencji</w:t>
      </w:r>
      <w:r>
        <w:rPr>
          <w:color w:val="000000"/>
          <w:szCs w:val="20"/>
          <w:u w:color="000000"/>
        </w:rPr>
        <w:t>, tym bardziej wsparcie to nie będzie mieć wpływu na wymianę handlową pomiędzy państwami członkowskimi.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swoich zadań statutowych GZK oprócz usług w zakresie zbiorowego zaopatrzenia</w:t>
      </w:r>
      <w:r>
        <w:rPr>
          <w:color w:val="000000"/>
          <w:szCs w:val="20"/>
          <w:u w:color="000000"/>
        </w:rPr>
        <w:br/>
        <w:t>w wodę  – administruje zasobem mieszkaniowym gminy Nieporęt oraz u</w:t>
      </w:r>
      <w:r>
        <w:rPr>
          <w:color w:val="000000"/>
          <w:szCs w:val="20"/>
          <w:u w:color="000000"/>
        </w:rPr>
        <w:t>trzymuje porządek na terenach gminnych. Działalność w powyższym zakresie inaczej niż działalność w zakresie zbiorowego zaopatrzenia w wodę – ma charakter konkurencyjny. W przypadku GZK wykluczyć można subsydiowanie krzyżowe pomiędzy prowadzonymi działalnoś</w:t>
      </w:r>
      <w:r>
        <w:rPr>
          <w:color w:val="000000"/>
          <w:szCs w:val="20"/>
          <w:u w:color="000000"/>
        </w:rPr>
        <w:t>ciami. Działalność GZK oparta jest na rocznym planie finansowym, który to plan uwzględnia odrębną ewidencję każdego rodzaju działalności.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We wspomnianym planie finansowym każdy rodzaj działalności jest wyraźnie oddzielony pod względem finansowym (koszty i </w:t>
      </w:r>
      <w:r>
        <w:rPr>
          <w:color w:val="000000"/>
          <w:szCs w:val="20"/>
          <w:u w:color="000000"/>
        </w:rPr>
        <w:t>przychody). Przypisane koszty i przychody do poszczególnych rodzajów działalności uniemożliwiają subsydiowanie skrośne tj. pokrywanie kosztów jednego rodzaju prowadzonej działalności przychodem z innego rodzaju działalności, co oznacza, że nie występuje kr</w:t>
      </w:r>
      <w:r>
        <w:rPr>
          <w:color w:val="000000"/>
          <w:szCs w:val="20"/>
          <w:u w:color="000000"/>
        </w:rPr>
        <w:t>zyżowe dotowanie działalności.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Niezależnie od powyższego, na terenie gminy Nieporęt zlokalizowana jest ponadto sieć wodociągowa – przesyłowa, stanowiąca własność Miejskiego Przedsiębiorstwa Wodociągów i Kanalizacji w m. st. Warszawie Spółka Akcyjna, zwana </w:t>
      </w:r>
      <w:r>
        <w:rPr>
          <w:color w:val="000000"/>
          <w:szCs w:val="20"/>
          <w:u w:color="000000"/>
        </w:rPr>
        <w:t>dalej „MPWiK”, które to przedsiębiorstwo na bazie wskazanej wyżej sieci, prowadzi usługi w zakresie zbiorowego zaopatrzenia w wodę poza terenem gminy Nieporęt oraz zgodnie ze Statutem tej Spółki usługi dodatkowe - sprzedaż piasku, usługi transportowe, dost</w:t>
      </w:r>
      <w:r>
        <w:rPr>
          <w:color w:val="000000"/>
          <w:szCs w:val="20"/>
          <w:u w:color="000000"/>
        </w:rPr>
        <w:t>awę wody beczkowozem.</w:t>
      </w:r>
      <w:r>
        <w:rPr>
          <w:color w:val="000000"/>
          <w:szCs w:val="20"/>
          <w:u w:color="000000"/>
        </w:rPr>
        <w:br/>
        <w:t>W przypadku MPWiK - spółka akcyjna/ przedsiębiorstwo prowadzące dodatkowe usługi -  nie można wykluczyć subsydiowania krzyżowego pomiędzy prowadzonymi działalnościami.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powyższe przyjęto, że pomimo iż działalność (usługi) w </w:t>
      </w:r>
      <w:r>
        <w:rPr>
          <w:color w:val="000000"/>
          <w:szCs w:val="20"/>
          <w:u w:color="000000"/>
        </w:rPr>
        <w:t>zakresie zbiorowego zaopatrzenia w wodę, prowadzoną przez GZK w Nieporęcie można by było uznać za działalność w  warunkach monopolu naturalnego, co do której stawka preferencyjna nie stanowiłaby pomocy publicznej, to z uwagi na istnienie na terenie Gminy N</w:t>
      </w:r>
      <w:r>
        <w:rPr>
          <w:color w:val="000000"/>
          <w:szCs w:val="20"/>
          <w:u w:color="000000"/>
        </w:rPr>
        <w:t>ieporęt sieci wodociągowej - przesyłowej, eksploatowanej przez Spółkę MPWiK w Warszawie i wskazane wyżej uwarunkowania związane z działalnością tej Spółki – należy uznać, że zastosowanie stawki preferencyjnej będzie miało w tym przypadku wpływ na konkurenc</w:t>
      </w:r>
      <w:r>
        <w:rPr>
          <w:color w:val="000000"/>
          <w:szCs w:val="20"/>
          <w:u w:color="000000"/>
        </w:rPr>
        <w:t xml:space="preserve">yjność na rynku ponadlokalnym,  a tym samym będzie stanowiło pomoc publiczną (de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>).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Zgodnie z art. 40 ust. 1 ustawy o samorządzie gminnym (Dz. U. z 2021 r. poz. 1372) na podstawie upoważnień ustawowych gminie przysługuje prawo stanowienia aktów praw</w:t>
      </w:r>
      <w:r>
        <w:rPr>
          <w:color w:val="000000"/>
          <w:szCs w:val="20"/>
          <w:u w:color="000000"/>
        </w:rPr>
        <w:t>a miejscowego obowiązujących na obszarze gminy.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41 ust. 1 wyżej powołanej ustawy akty prawa miejscowego ustanawia rada gminy w formie uchwały.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okolicznością, iż różnicowanie stawek podatku od nieruchomości zawarte w projekcie uch</w:t>
      </w:r>
      <w:r>
        <w:rPr>
          <w:color w:val="000000"/>
          <w:szCs w:val="20"/>
          <w:u w:color="000000"/>
        </w:rPr>
        <w:t>wały ze względu na wprowadzenie preferencyjnej stawki dla budowli związanych z prowadzeniem działalności w zakresie zbiorowego zaopatrzenia w wodę w rozumieniu ustawy z dnia 7 czerwca 2001 r. o zbiorowym zaopatrzeniu w wodę i zbiorowym odprowadzaniu ściekó</w:t>
      </w:r>
      <w:r>
        <w:rPr>
          <w:color w:val="000000"/>
          <w:szCs w:val="20"/>
          <w:u w:color="000000"/>
        </w:rPr>
        <w:t xml:space="preserve">w (Dz. U. z 2020, poz. 2028.) zostało uznane za pomoc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>, projekt uchwały w powyższym zakresie opracowano w oparciu</w:t>
      </w:r>
      <w:r>
        <w:rPr>
          <w:color w:val="000000"/>
          <w:szCs w:val="20"/>
          <w:u w:color="000000"/>
        </w:rPr>
        <w:br/>
        <w:t>o przepisy rozporządzenia Komisji (UE) Nr 1407/2013 z dnia 18 grudnia 2013 r. w sprawie stosowania art. 107 i 108 Traktatu o funkcjo</w:t>
      </w:r>
      <w:r>
        <w:rPr>
          <w:color w:val="000000"/>
          <w:szCs w:val="20"/>
          <w:u w:color="000000"/>
        </w:rPr>
        <w:t xml:space="preserve">nowaniu Unii Europejskiej do pomocy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(Dz. Urz. UE L 352 z 24.12.2013, L 215 z 7.7.2020).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7 ust. 3 ustawy z dnia 30 kwietnia 2004 r. o postępowaniu w sprawach dotyczących pomocy publicznej (Dz. U. z 2021 r. poz.  743) projekt progra</w:t>
      </w:r>
      <w:r>
        <w:rPr>
          <w:color w:val="000000"/>
          <w:szCs w:val="20"/>
          <w:u w:color="000000"/>
        </w:rPr>
        <w:t xml:space="preserve">mu pomocowego przewidujący udzielanie pomocy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podlega zgłoszeniu Prezesowi Urzędu Ochrony Konkurencji i Konsumentów, który w terminie 14 dni może przedstawić zastrzeżenia dotyczące przejrzystości zasad udzielania pomocy.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w sprawie</w:t>
      </w:r>
      <w:r>
        <w:rPr>
          <w:color w:val="000000"/>
          <w:szCs w:val="20"/>
          <w:u w:color="000000"/>
        </w:rPr>
        <w:t xml:space="preserve"> stawek podatku od nieruchomości został przedstawiony do zaopiniowania zgodnie z ww. przepisami.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Prezes Urzędu Ochrony Konkurencji i Konsumentów pismem DMP-1.530.776.2021 z dnia 19 października 2021 r. przedstawił jedno zastrzeżenie, co do przedłożonego pr</w:t>
      </w:r>
      <w:r>
        <w:rPr>
          <w:color w:val="000000"/>
          <w:szCs w:val="20"/>
          <w:u w:color="000000"/>
        </w:rPr>
        <w:t xml:space="preserve">ojektu wskazując potrzebę zobowiązania podmiotów ubiegających się o pomoc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do przestawiania podmiotowi udzielającemu pomocy, wraz z wnioskiem o udzielenie pomocy: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wszystkich zaświadczeń o pomocy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oraz pomocy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w rolnictwie </w:t>
      </w:r>
      <w:r>
        <w:rPr>
          <w:color w:val="000000"/>
          <w:szCs w:val="20"/>
          <w:u w:color="000000"/>
        </w:rPr>
        <w:t>lub w rybołówstwie, jakie otrzymały w roku, w którym ubiegają się o pomoc, oraz w ciągu 2 poprzedzających go lat, albo oświadczenia o wielkości tej pomocy otrzymanej w tym okresie, albo oświadczenia o nieotrzymaniu takiej pomocy w tym okresie oraz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infor</w:t>
      </w:r>
      <w:r>
        <w:rPr>
          <w:color w:val="000000"/>
          <w:szCs w:val="20"/>
          <w:u w:color="000000"/>
        </w:rPr>
        <w:t xml:space="preserve">macji określonych w rozporządzeniu Rady Ministrów z dnia 29 marca 2010 r. w sprawie zakresu informacji przedstawianych przez podmiot ubiegający się o pomoc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(Dz. U. z 2010 r. Nr 53, poz. 311, 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 na Formularzu informacji przedstawianych</w:t>
      </w:r>
      <w:r>
        <w:rPr>
          <w:color w:val="000000"/>
          <w:szCs w:val="20"/>
          <w:u w:color="000000"/>
        </w:rPr>
        <w:t xml:space="preserve"> przy ubieganiu się o pomoc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>, stanowiącym załącznik nr 1 do tego rozporządzenia.</w:t>
      </w:r>
    </w:p>
    <w:p w:rsidR="00E807BC" w:rsidRDefault="00B0559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Wskazanie zawarte w wyżej przywołanym piśmie Prezesa Urzędu Ochrony Konkurencji i Konsumentów zostało w całości uwzględnione w niniejszym projekcie uchwały.</w:t>
      </w:r>
    </w:p>
    <w:p w:rsidR="00172A42" w:rsidRDefault="00172A42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172A42" w:rsidRDefault="00172A4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Przygo</w:t>
      </w:r>
      <w:bookmarkStart w:id="0" w:name="_GoBack"/>
      <w:bookmarkEnd w:id="0"/>
      <w:r>
        <w:rPr>
          <w:color w:val="000000"/>
          <w:szCs w:val="20"/>
          <w:u w:color="000000"/>
        </w:rPr>
        <w:t xml:space="preserve">towała: </w:t>
      </w:r>
      <w:proofErr w:type="spellStart"/>
      <w:r>
        <w:rPr>
          <w:color w:val="000000"/>
          <w:szCs w:val="20"/>
          <w:u w:color="000000"/>
        </w:rPr>
        <w:t>E.Gera</w:t>
      </w:r>
      <w:proofErr w:type="spellEnd"/>
    </w:p>
    <w:sectPr w:rsidR="00172A4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91" w:rsidRDefault="00B05591">
      <w:r>
        <w:separator/>
      </w:r>
    </w:p>
  </w:endnote>
  <w:endnote w:type="continuationSeparator" w:id="0">
    <w:p w:rsidR="00B05591" w:rsidRDefault="00B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07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7BC" w:rsidRDefault="00B0559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7BC" w:rsidRDefault="00E807BC">
          <w:pPr>
            <w:jc w:val="right"/>
            <w:rPr>
              <w:sz w:val="18"/>
            </w:rPr>
          </w:pPr>
        </w:p>
      </w:tc>
    </w:tr>
  </w:tbl>
  <w:p w:rsidR="00E807BC" w:rsidRDefault="00E807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07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7BC" w:rsidRDefault="00B0559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7BC" w:rsidRDefault="00E807BC">
          <w:pPr>
            <w:jc w:val="right"/>
            <w:rPr>
              <w:sz w:val="18"/>
            </w:rPr>
          </w:pPr>
        </w:p>
      </w:tc>
    </w:tr>
  </w:tbl>
  <w:p w:rsidR="00E807BC" w:rsidRDefault="00E807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91" w:rsidRDefault="00B05591">
      <w:r>
        <w:separator/>
      </w:r>
    </w:p>
  </w:footnote>
  <w:footnote w:type="continuationSeparator" w:id="0">
    <w:p w:rsidR="00B05591" w:rsidRDefault="00B0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2A42"/>
    <w:rsid w:val="00A77B3E"/>
    <w:rsid w:val="00B05591"/>
    <w:rsid w:val="00CA2A55"/>
    <w:rsid w:val="00E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41972"/>
  <w15:docId w15:val="{C5BB63E3-B297-44F8-93B7-8B3B94D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4478</Words>
  <Characters>26868</Characters>
  <Application>Microsoft Office Word</Application>
  <DocSecurity>0</DocSecurity>
  <Lines>223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stawek podatku od nieruchomości</dc:subject>
  <dc:creator>w.dzwonek</dc:creator>
  <cp:lastModifiedBy>Wiktoria Dzwonek</cp:lastModifiedBy>
  <cp:revision>2</cp:revision>
  <dcterms:created xsi:type="dcterms:W3CDTF">2021-11-03T11:22:00Z</dcterms:created>
  <dcterms:modified xsi:type="dcterms:W3CDTF">2021-11-03T11:22:00Z</dcterms:modified>
  <cp:category>Akt prawny</cp:category>
</cp:coreProperties>
</file>